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F2A" w:rsidRDefault="00E454D3" w:rsidP="00173728">
      <w:pPr>
        <w:jc w:val="center"/>
        <w:rPr>
          <w:b/>
        </w:rPr>
      </w:pPr>
      <w:bookmarkStart w:id="0" w:name="_GoBack"/>
      <w:bookmarkEnd w:id="0"/>
      <w:r w:rsidRPr="00E454D3">
        <w:rPr>
          <w:b/>
        </w:rPr>
        <w:t xml:space="preserve">CALL FOR </w:t>
      </w:r>
      <w:r w:rsidR="00B83E6D">
        <w:rPr>
          <w:b/>
        </w:rPr>
        <w:t xml:space="preserve">WORKSHOP </w:t>
      </w:r>
      <w:r w:rsidRPr="00E454D3">
        <w:rPr>
          <w:b/>
        </w:rPr>
        <w:t>PARTICIPATION</w:t>
      </w:r>
    </w:p>
    <w:p w:rsidR="00E454D3" w:rsidRDefault="00E454D3" w:rsidP="00173728">
      <w:pPr>
        <w:jc w:val="center"/>
        <w:rPr>
          <w:b/>
        </w:rPr>
      </w:pPr>
    </w:p>
    <w:p w:rsidR="00173728" w:rsidRDefault="00E454D3" w:rsidP="00173728">
      <w:pPr>
        <w:jc w:val="center"/>
        <w:rPr>
          <w:b/>
        </w:rPr>
      </w:pPr>
      <w:r>
        <w:rPr>
          <w:b/>
        </w:rPr>
        <w:t xml:space="preserve">"Beyond Enforcement: </w:t>
      </w:r>
      <w:r w:rsidR="00F11701">
        <w:rPr>
          <w:b/>
        </w:rPr>
        <w:t xml:space="preserve">Involving </w:t>
      </w:r>
      <w:r w:rsidR="00173728">
        <w:rPr>
          <w:b/>
        </w:rPr>
        <w:t xml:space="preserve">Indigenous Peoples and Local </w:t>
      </w:r>
      <w:r>
        <w:rPr>
          <w:b/>
        </w:rPr>
        <w:t xml:space="preserve">Communities </w:t>
      </w:r>
      <w:r w:rsidR="00F11701">
        <w:rPr>
          <w:b/>
        </w:rPr>
        <w:t xml:space="preserve">in </w:t>
      </w:r>
      <w:r>
        <w:rPr>
          <w:b/>
        </w:rPr>
        <w:t>Combating Illegal Wildlife Trade:</w:t>
      </w:r>
    </w:p>
    <w:p w:rsidR="00E454D3" w:rsidRDefault="00E454D3" w:rsidP="00173728">
      <w:pPr>
        <w:jc w:val="center"/>
        <w:rPr>
          <w:b/>
        </w:rPr>
      </w:pPr>
      <w:r>
        <w:rPr>
          <w:b/>
        </w:rPr>
        <w:t>Regional workshop for West and Central Africa"</w:t>
      </w:r>
    </w:p>
    <w:p w:rsidR="00173728" w:rsidRDefault="00173728" w:rsidP="00E454D3">
      <w:pPr>
        <w:spacing w:after="160" w:line="259" w:lineRule="auto"/>
        <w:rPr>
          <w:b/>
          <w:color w:val="000000"/>
        </w:rPr>
      </w:pPr>
    </w:p>
    <w:p w:rsidR="00173728" w:rsidRDefault="009804DE" w:rsidP="00E454D3">
      <w:pPr>
        <w:spacing w:after="160" w:line="259" w:lineRule="auto"/>
        <w:rPr>
          <w:color w:val="000000"/>
        </w:rPr>
      </w:pPr>
      <w:r w:rsidRPr="008A57B9">
        <w:rPr>
          <w:color w:val="000000"/>
        </w:rPr>
        <w:t xml:space="preserve">The </w:t>
      </w:r>
      <w:r w:rsidR="00E454D3" w:rsidRPr="008A57B9">
        <w:rPr>
          <w:color w:val="000000"/>
        </w:rPr>
        <w:t>IUCN CEESP/SSC Sustainable Use and Live</w:t>
      </w:r>
      <w:r w:rsidRPr="008A57B9">
        <w:rPr>
          <w:color w:val="000000"/>
        </w:rPr>
        <w:t>lihoods Specialist Group (</w:t>
      </w:r>
      <w:r w:rsidR="008A57B9">
        <w:rPr>
          <w:color w:val="000000"/>
        </w:rPr>
        <w:t xml:space="preserve">IUCN </w:t>
      </w:r>
      <w:proofErr w:type="spellStart"/>
      <w:r w:rsidRPr="008A57B9">
        <w:rPr>
          <w:color w:val="000000"/>
        </w:rPr>
        <w:t>SULi</w:t>
      </w:r>
      <w:proofErr w:type="spellEnd"/>
      <w:r w:rsidRPr="008A57B9">
        <w:rPr>
          <w:color w:val="000000"/>
        </w:rPr>
        <w:t>)</w:t>
      </w:r>
      <w:r w:rsidR="008A57B9">
        <w:rPr>
          <w:color w:val="000000"/>
        </w:rPr>
        <w:t xml:space="preserve"> and Regional Programme for West and Central Africa (IUCN PACO)</w:t>
      </w:r>
      <w:r w:rsidRPr="008A57B9">
        <w:rPr>
          <w:color w:val="000000"/>
        </w:rPr>
        <w:t>,</w:t>
      </w:r>
      <w:r w:rsidR="00E454D3" w:rsidRPr="008A57B9">
        <w:rPr>
          <w:color w:val="000000"/>
        </w:rPr>
        <w:t xml:space="preserve"> International Institute of Env</w:t>
      </w:r>
      <w:r w:rsidRPr="008A57B9">
        <w:rPr>
          <w:color w:val="000000"/>
        </w:rPr>
        <w:t>ironment and Development (IIED),</w:t>
      </w:r>
      <w:r w:rsidR="00E454D3" w:rsidRPr="008A57B9">
        <w:rPr>
          <w:color w:val="000000"/>
        </w:rPr>
        <w:t xml:space="preserve"> TRAFFIC - the wildlife trade monitoring network</w:t>
      </w:r>
      <w:r w:rsidRPr="008A57B9">
        <w:rPr>
          <w:color w:val="000000"/>
        </w:rPr>
        <w:t xml:space="preserve">, </w:t>
      </w:r>
      <w:r w:rsidR="008A57B9">
        <w:rPr>
          <w:color w:val="000000"/>
        </w:rPr>
        <w:t xml:space="preserve">and </w:t>
      </w:r>
      <w:r w:rsidR="00E454D3" w:rsidRPr="008A57B9">
        <w:rPr>
          <w:color w:val="000000"/>
        </w:rPr>
        <w:t>the Network for Environment and Sustainable Development in Africa (</w:t>
      </w:r>
      <w:r w:rsidR="00F11701" w:rsidRPr="008A57B9">
        <w:rPr>
          <w:color w:val="000000"/>
        </w:rPr>
        <w:t xml:space="preserve">NESDA - </w:t>
      </w:r>
      <w:r w:rsidR="00E454D3" w:rsidRPr="008A57B9">
        <w:rPr>
          <w:color w:val="000000"/>
        </w:rPr>
        <w:t>Cameroon</w:t>
      </w:r>
      <w:r w:rsidR="00E454D3" w:rsidRPr="009804DE">
        <w:rPr>
          <w:rFonts w:ascii="Calibri" w:eastAsia="Calibri" w:hAnsi="Calibri"/>
          <w:color w:val="000000"/>
          <w:sz w:val="22"/>
          <w:szCs w:val="22"/>
        </w:rPr>
        <w:t>)</w:t>
      </w:r>
      <w:r w:rsidR="00ED0812" w:rsidRPr="009804DE">
        <w:rPr>
          <w:rFonts w:ascii="Calibri" w:eastAsia="Calibri" w:hAnsi="Calibri"/>
          <w:color w:val="000000"/>
          <w:sz w:val="22"/>
          <w:szCs w:val="22"/>
        </w:rPr>
        <w:t>,</w:t>
      </w:r>
      <w:r w:rsidR="00ED0812" w:rsidRPr="008A57B9">
        <w:rPr>
          <w:color w:val="000000"/>
        </w:rPr>
        <w:t xml:space="preserve"> </w:t>
      </w:r>
      <w:r w:rsidRPr="008A57B9">
        <w:rPr>
          <w:color w:val="000000"/>
        </w:rPr>
        <w:t xml:space="preserve">are holding a regional workshop for West and Central Africa </w:t>
      </w:r>
      <w:r w:rsidR="00F11701" w:rsidRPr="008A57B9">
        <w:rPr>
          <w:color w:val="000000"/>
        </w:rPr>
        <w:t xml:space="preserve">to explore how best to </w:t>
      </w:r>
      <w:r w:rsidR="00F11701" w:rsidRPr="00173728">
        <w:rPr>
          <w:color w:val="000000"/>
        </w:rPr>
        <w:t xml:space="preserve">engage </w:t>
      </w:r>
      <w:r w:rsidR="00E62562" w:rsidRPr="00173728">
        <w:t>indigenous peoples and</w:t>
      </w:r>
      <w:r w:rsidR="00E62562">
        <w:rPr>
          <w:b/>
        </w:rPr>
        <w:t xml:space="preserve"> </w:t>
      </w:r>
      <w:r w:rsidR="00F11701" w:rsidRPr="008A57B9">
        <w:rPr>
          <w:color w:val="000000"/>
        </w:rPr>
        <w:t xml:space="preserve">local </w:t>
      </w:r>
      <w:r w:rsidRPr="008A57B9">
        <w:rPr>
          <w:color w:val="000000"/>
        </w:rPr>
        <w:t xml:space="preserve">communities that live close to wildlife in efforts to combat illegal wildlife trade. </w:t>
      </w:r>
    </w:p>
    <w:p w:rsidR="00173728" w:rsidRDefault="009804DE" w:rsidP="00E454D3">
      <w:pPr>
        <w:spacing w:after="160" w:line="259" w:lineRule="auto"/>
        <w:rPr>
          <w:color w:val="000000"/>
        </w:rPr>
      </w:pPr>
      <w:r w:rsidRPr="008A57B9">
        <w:rPr>
          <w:color w:val="000000"/>
        </w:rPr>
        <w:t xml:space="preserve">This </w:t>
      </w:r>
      <w:r w:rsidR="00E62562">
        <w:rPr>
          <w:color w:val="000000"/>
        </w:rPr>
        <w:t xml:space="preserve">workshop </w:t>
      </w:r>
      <w:r w:rsidRPr="008A57B9">
        <w:rPr>
          <w:color w:val="000000"/>
        </w:rPr>
        <w:t xml:space="preserve">is </w:t>
      </w:r>
      <w:r w:rsidR="00ED0812" w:rsidRPr="008A57B9">
        <w:rPr>
          <w:color w:val="000000"/>
        </w:rPr>
        <w:t xml:space="preserve">supported by </w:t>
      </w:r>
      <w:r w:rsidR="00E62562" w:rsidRPr="008A57B9">
        <w:rPr>
          <w:color w:val="000000"/>
        </w:rPr>
        <w:t xml:space="preserve">the Austrian Ministry of the Environment </w:t>
      </w:r>
      <w:r w:rsidR="00E62562">
        <w:rPr>
          <w:color w:val="000000"/>
        </w:rPr>
        <w:t xml:space="preserve">and the German </w:t>
      </w:r>
      <w:proofErr w:type="spellStart"/>
      <w:r w:rsidR="00E62562">
        <w:rPr>
          <w:color w:val="000000"/>
        </w:rPr>
        <w:t>Polifund</w:t>
      </w:r>
      <w:proofErr w:type="spellEnd"/>
      <w:r w:rsidR="00E62562">
        <w:rPr>
          <w:color w:val="000000"/>
        </w:rPr>
        <w:t xml:space="preserve"> project, implemented by GIZ on behalf of the German Federal Ministry for Economic Cooperation and Development (BMZ) and the German Federal Ministry for Environment, Nature Conservation, Building and Nuclear Safety (BMUB).</w:t>
      </w:r>
      <w:r w:rsidRPr="008A57B9">
        <w:rPr>
          <w:color w:val="000000"/>
        </w:rPr>
        <w:t xml:space="preserve"> </w:t>
      </w:r>
    </w:p>
    <w:p w:rsidR="00E454D3" w:rsidRPr="008A57B9" w:rsidRDefault="009804DE" w:rsidP="00E454D3">
      <w:pPr>
        <w:spacing w:after="160" w:line="259" w:lineRule="auto"/>
        <w:rPr>
          <w:color w:val="000000"/>
        </w:rPr>
      </w:pPr>
      <w:r w:rsidRPr="008A57B9">
        <w:rPr>
          <w:color w:val="000000"/>
        </w:rPr>
        <w:t>We are inviting potential participants to submit summaries of relevant analyses, case studies and experiences</w:t>
      </w:r>
      <w:r w:rsidR="00F11701" w:rsidRPr="008A57B9">
        <w:rPr>
          <w:color w:val="000000"/>
        </w:rPr>
        <w:t xml:space="preserve"> that they would be interested to present at the workshop</w:t>
      </w:r>
      <w:r w:rsidRPr="008A57B9">
        <w:rPr>
          <w:color w:val="000000"/>
        </w:rPr>
        <w:t xml:space="preserve">. </w:t>
      </w:r>
    </w:p>
    <w:p w:rsidR="00E454D3" w:rsidRPr="008A57B9" w:rsidRDefault="00E454D3" w:rsidP="00E454D3">
      <w:pPr>
        <w:spacing w:after="160" w:line="259" w:lineRule="auto"/>
        <w:rPr>
          <w:b/>
          <w:color w:val="000000"/>
        </w:rPr>
      </w:pPr>
      <w:r w:rsidRPr="008A57B9">
        <w:rPr>
          <w:b/>
          <w:color w:val="000000"/>
        </w:rPr>
        <w:t xml:space="preserve">Dates: </w:t>
      </w:r>
      <w:r w:rsidRPr="008A57B9">
        <w:rPr>
          <w:rFonts w:eastAsia="Calibri"/>
          <w:color w:val="000000"/>
        </w:rPr>
        <w:t>2</w:t>
      </w:r>
      <w:r w:rsidR="003F17F2" w:rsidRPr="008A57B9">
        <w:rPr>
          <w:rFonts w:eastAsia="Calibri"/>
          <w:color w:val="000000"/>
        </w:rPr>
        <w:t>4th-25th</w:t>
      </w:r>
      <w:r w:rsidRPr="008A57B9">
        <w:rPr>
          <w:color w:val="000000"/>
        </w:rPr>
        <w:t xml:space="preserve"> February 2016 </w:t>
      </w:r>
    </w:p>
    <w:p w:rsidR="00E454D3" w:rsidRPr="008A57B9" w:rsidRDefault="00E454D3" w:rsidP="00E454D3">
      <w:pPr>
        <w:spacing w:after="160" w:line="259" w:lineRule="auto"/>
        <w:rPr>
          <w:b/>
          <w:color w:val="000000"/>
        </w:rPr>
      </w:pPr>
      <w:r w:rsidRPr="008A57B9">
        <w:rPr>
          <w:b/>
          <w:color w:val="000000"/>
        </w:rPr>
        <w:t xml:space="preserve">Venue: </w:t>
      </w:r>
      <w:r w:rsidR="003F17F2" w:rsidRPr="00173728">
        <w:rPr>
          <w:rFonts w:eastAsia="Calibri"/>
          <w:color w:val="000000"/>
        </w:rPr>
        <w:t>Close to Douala</w:t>
      </w:r>
      <w:r w:rsidR="003F17F2" w:rsidRPr="008A57B9">
        <w:rPr>
          <w:rFonts w:eastAsia="Calibri"/>
          <w:b/>
          <w:color w:val="000000"/>
        </w:rPr>
        <w:t xml:space="preserve">, </w:t>
      </w:r>
      <w:r w:rsidRPr="008A57B9">
        <w:rPr>
          <w:color w:val="000000"/>
        </w:rPr>
        <w:t>Cameroon (</w:t>
      </w:r>
      <w:r w:rsidR="00173728">
        <w:rPr>
          <w:color w:val="000000"/>
        </w:rPr>
        <w:t xml:space="preserve">exact </w:t>
      </w:r>
      <w:r w:rsidRPr="008A57B9">
        <w:rPr>
          <w:color w:val="000000"/>
        </w:rPr>
        <w:t>venue TBC)</w:t>
      </w:r>
      <w:r w:rsidR="00CE5890">
        <w:rPr>
          <w:rFonts w:ascii="Calibri" w:eastAsia="Calibri" w:hAnsi="Calibri"/>
          <w:color w:val="000000"/>
          <w:sz w:val="22"/>
          <w:szCs w:val="22"/>
        </w:rPr>
        <w:t xml:space="preserve"> </w:t>
      </w:r>
    </w:p>
    <w:p w:rsidR="00E454D3" w:rsidRPr="008A57B9" w:rsidRDefault="00E454D3" w:rsidP="00E454D3">
      <w:pPr>
        <w:spacing w:before="240" w:after="120"/>
        <w:rPr>
          <w:b/>
          <w:color w:val="000000"/>
        </w:rPr>
      </w:pPr>
      <w:r w:rsidRPr="008A57B9">
        <w:rPr>
          <w:b/>
          <w:color w:val="000000"/>
        </w:rPr>
        <w:t xml:space="preserve">MEETING OBJECTIVES </w:t>
      </w:r>
    </w:p>
    <w:p w:rsidR="0077119C" w:rsidRPr="008A57B9" w:rsidRDefault="00E454D3" w:rsidP="00E454D3">
      <w:pPr>
        <w:spacing w:after="160" w:line="259" w:lineRule="auto"/>
      </w:pPr>
      <w:r w:rsidRPr="00173728">
        <w:t xml:space="preserve">The </w:t>
      </w:r>
      <w:r w:rsidR="0077119C" w:rsidRPr="00173728">
        <w:t xml:space="preserve">objective of this meeting is </w:t>
      </w:r>
      <w:r w:rsidRPr="00173728">
        <w:t xml:space="preserve">to </w:t>
      </w:r>
      <w:r w:rsidRPr="005377C1">
        <w:rPr>
          <w:b/>
        </w:rPr>
        <w:t>improve</w:t>
      </w:r>
      <w:r w:rsidR="008A57B9" w:rsidRPr="005377C1">
        <w:rPr>
          <w:b/>
        </w:rPr>
        <w:t xml:space="preserve"> </w:t>
      </w:r>
      <w:r w:rsidRPr="005377C1">
        <w:rPr>
          <w:b/>
        </w:rPr>
        <w:t xml:space="preserve">understanding and guidance on how </w:t>
      </w:r>
      <w:r w:rsidR="00173728" w:rsidRPr="005377C1">
        <w:rPr>
          <w:b/>
        </w:rPr>
        <w:t>indigenous peoples and l</w:t>
      </w:r>
      <w:r w:rsidR="00E62562" w:rsidRPr="005377C1">
        <w:rPr>
          <w:b/>
        </w:rPr>
        <w:t xml:space="preserve">ocal </w:t>
      </w:r>
      <w:r w:rsidRPr="005377C1">
        <w:rPr>
          <w:b/>
        </w:rPr>
        <w:t>communities can be engaged as active partners in protecting wildlife against IWT</w:t>
      </w:r>
      <w:r w:rsidR="00173728">
        <w:t>,</w:t>
      </w:r>
      <w:r w:rsidRPr="00173728">
        <w:t xml:space="preserve"> through collecting and examining</w:t>
      </w:r>
      <w:r w:rsidRPr="008A57B9">
        <w:t xml:space="preserve"> regional experiences and case studies</w:t>
      </w:r>
      <w:r w:rsidR="0077119C" w:rsidRPr="008A57B9">
        <w:t>.</w:t>
      </w:r>
    </w:p>
    <w:p w:rsidR="00ED0812" w:rsidRPr="008A57B9" w:rsidRDefault="00ED0812" w:rsidP="00E454D3">
      <w:pPr>
        <w:spacing w:after="160" w:line="259" w:lineRule="auto"/>
        <w:rPr>
          <w:color w:val="000000"/>
        </w:rPr>
      </w:pPr>
      <w:r w:rsidRPr="008A57B9">
        <w:rPr>
          <w:color w:val="000000"/>
        </w:rPr>
        <w:t xml:space="preserve">This regional workshop will build on an international symposium on this topic held in </w:t>
      </w:r>
      <w:proofErr w:type="spellStart"/>
      <w:r w:rsidRPr="008A57B9">
        <w:rPr>
          <w:color w:val="000000"/>
        </w:rPr>
        <w:t>Muldersdrift</w:t>
      </w:r>
      <w:proofErr w:type="spellEnd"/>
      <w:r w:rsidRPr="008A57B9">
        <w:rPr>
          <w:color w:val="000000"/>
        </w:rPr>
        <w:t xml:space="preserve">, South Africa, in February 2015 (see </w:t>
      </w:r>
      <w:r w:rsidR="0077119C" w:rsidRPr="008A57B9">
        <w:rPr>
          <w:color w:val="000000"/>
        </w:rPr>
        <w:t xml:space="preserve">http://pubs.iied.org/G03903.html) which brought together experiences and case studies </w:t>
      </w:r>
      <w:r w:rsidR="00F11701" w:rsidRPr="008A57B9">
        <w:rPr>
          <w:color w:val="000000"/>
        </w:rPr>
        <w:t xml:space="preserve">of different community engagement approaches. The </w:t>
      </w:r>
      <w:proofErr w:type="spellStart"/>
      <w:r w:rsidR="00F11701" w:rsidRPr="008A57B9">
        <w:rPr>
          <w:color w:val="000000"/>
        </w:rPr>
        <w:t>Muldersdrift</w:t>
      </w:r>
      <w:proofErr w:type="spellEnd"/>
      <w:r w:rsidR="00F11701" w:rsidRPr="008A57B9">
        <w:rPr>
          <w:color w:val="000000"/>
        </w:rPr>
        <w:t xml:space="preserve"> meeting </w:t>
      </w:r>
      <w:r w:rsidR="0077119C" w:rsidRPr="008A57B9">
        <w:rPr>
          <w:color w:val="000000"/>
        </w:rPr>
        <w:t>highlighted the need for more focused regional exploration of the issues</w:t>
      </w:r>
      <w:r w:rsidR="00F11701" w:rsidRPr="008A57B9">
        <w:rPr>
          <w:color w:val="000000"/>
        </w:rPr>
        <w:t xml:space="preserve"> in order to </w:t>
      </w:r>
      <w:r w:rsidR="0077119C" w:rsidRPr="008A57B9">
        <w:rPr>
          <w:color w:val="000000"/>
        </w:rPr>
        <w:t xml:space="preserve">contribute to an international effort toward raising awareness of and </w:t>
      </w:r>
      <w:r w:rsidR="0077119C" w:rsidRPr="00173728">
        <w:rPr>
          <w:color w:val="000000"/>
        </w:rPr>
        <w:t xml:space="preserve">attention to the role of </w:t>
      </w:r>
      <w:r w:rsidR="00173728" w:rsidRPr="00173728">
        <w:t>indigenous peoples and l</w:t>
      </w:r>
      <w:r w:rsidR="00E62562" w:rsidRPr="00173728">
        <w:t xml:space="preserve">ocal </w:t>
      </w:r>
      <w:r w:rsidR="0077119C" w:rsidRPr="00173728">
        <w:rPr>
          <w:color w:val="000000"/>
        </w:rPr>
        <w:t>communities in effective</w:t>
      </w:r>
      <w:r w:rsidR="0077119C" w:rsidRPr="008A57B9">
        <w:rPr>
          <w:color w:val="000000"/>
        </w:rPr>
        <w:t xml:space="preserve"> and just responses to IWT.</w:t>
      </w:r>
    </w:p>
    <w:p w:rsidR="00E454D3" w:rsidRPr="008A57B9" w:rsidRDefault="00E454D3" w:rsidP="00E454D3">
      <w:pPr>
        <w:spacing w:after="160" w:line="259" w:lineRule="auto"/>
        <w:rPr>
          <w:b/>
          <w:color w:val="000000"/>
        </w:rPr>
      </w:pPr>
      <w:r w:rsidRPr="008A57B9">
        <w:rPr>
          <w:b/>
          <w:color w:val="000000"/>
        </w:rPr>
        <w:lastRenderedPageBreak/>
        <w:t>REGIONAL FOCUS</w:t>
      </w:r>
    </w:p>
    <w:p w:rsidR="00030474" w:rsidRDefault="00E454D3" w:rsidP="00E454D3">
      <w:pPr>
        <w:spacing w:after="160" w:line="259" w:lineRule="auto"/>
        <w:rPr>
          <w:rFonts w:eastAsia="Calibri"/>
          <w:color w:val="000000"/>
        </w:rPr>
      </w:pPr>
      <w:r w:rsidRPr="008A57B9">
        <w:rPr>
          <w:color w:val="000000"/>
        </w:rPr>
        <w:t>The countries of West and Central Africa</w:t>
      </w:r>
      <w:r w:rsidR="00C837EF">
        <w:rPr>
          <w:rFonts w:eastAsia="Calibri"/>
          <w:color w:val="000000"/>
        </w:rPr>
        <w:t xml:space="preserve">. </w:t>
      </w:r>
    </w:p>
    <w:p w:rsidR="009804DE" w:rsidRPr="009C6BC6" w:rsidRDefault="009804DE" w:rsidP="009804DE">
      <w:pPr>
        <w:rPr>
          <w:rFonts w:eastAsia="Calibri"/>
          <w:color w:val="000000"/>
        </w:rPr>
      </w:pPr>
      <w:r w:rsidRPr="008A57B9">
        <w:rPr>
          <w:b/>
        </w:rPr>
        <w:t>CALL FOR WORKSHOP PARTICIPATION</w:t>
      </w:r>
    </w:p>
    <w:p w:rsidR="009804DE" w:rsidRPr="008A57B9" w:rsidRDefault="009804DE" w:rsidP="009804DE"/>
    <w:p w:rsidR="009804DE" w:rsidRPr="008A57B9" w:rsidRDefault="009804DE" w:rsidP="009804DE">
      <w:r w:rsidRPr="008A57B9">
        <w:t xml:space="preserve">We are seeking analyses, case studies, and experiences </w:t>
      </w:r>
      <w:r w:rsidR="00F11701" w:rsidRPr="008A57B9">
        <w:t xml:space="preserve">of efforts to involve </w:t>
      </w:r>
      <w:r w:rsidR="003F5408">
        <w:t>indigenous peoples and l</w:t>
      </w:r>
      <w:r w:rsidR="00E62562" w:rsidRPr="003F5408">
        <w:t>ocal</w:t>
      </w:r>
      <w:r w:rsidR="00E62562">
        <w:rPr>
          <w:b/>
        </w:rPr>
        <w:t xml:space="preserve"> </w:t>
      </w:r>
      <w:r w:rsidR="00F11701" w:rsidRPr="008A57B9">
        <w:t xml:space="preserve">communities in tackling illegal wildlife trade. We are particularly interested in exploring approaches that have worked – and the underlying reasons for their success – and approaches that have not been found to be effective. We are also interested in case studies that document the </w:t>
      </w:r>
      <w:r w:rsidR="00690954" w:rsidRPr="008A57B9">
        <w:rPr>
          <w:i/>
        </w:rPr>
        <w:t xml:space="preserve">impact on </w:t>
      </w:r>
      <w:r w:rsidR="003F5408">
        <w:rPr>
          <w:i/>
        </w:rPr>
        <w:t>indigenous p</w:t>
      </w:r>
      <w:r w:rsidR="00E62562" w:rsidRPr="003F5408">
        <w:rPr>
          <w:i/>
        </w:rPr>
        <w:t>eoples and</w:t>
      </w:r>
      <w:r w:rsidR="00E62562">
        <w:rPr>
          <w:b/>
        </w:rPr>
        <w:t xml:space="preserve"> </w:t>
      </w:r>
      <w:r w:rsidR="00690954" w:rsidRPr="008A57B9">
        <w:rPr>
          <w:i/>
        </w:rPr>
        <w:t>local communities</w:t>
      </w:r>
      <w:r w:rsidR="00F11701" w:rsidRPr="008A57B9">
        <w:t xml:space="preserve"> of external efforts to control illegal wildlife trade (</w:t>
      </w:r>
      <w:proofErr w:type="spellStart"/>
      <w:r w:rsidR="00F11701" w:rsidRPr="008A57B9">
        <w:t>eg</w:t>
      </w:r>
      <w:proofErr w:type="spellEnd"/>
      <w:r w:rsidR="00F11701" w:rsidRPr="008A57B9">
        <w:t xml:space="preserve"> the impacts of </w:t>
      </w:r>
      <w:r w:rsidR="00F97A04" w:rsidRPr="008A57B9">
        <w:t xml:space="preserve">private sector or government led anti-poaching patrols). </w:t>
      </w:r>
      <w:r w:rsidRPr="008A57B9">
        <w:t xml:space="preserve">The focus is on </w:t>
      </w:r>
      <w:r w:rsidR="00690954" w:rsidRPr="008A57B9">
        <w:rPr>
          <w:i/>
        </w:rPr>
        <w:t>international</w:t>
      </w:r>
      <w:r w:rsidRPr="008A57B9">
        <w:t xml:space="preserve"> illegal wildlife trade</w:t>
      </w:r>
      <w:r w:rsidR="00F11701" w:rsidRPr="008A57B9">
        <w:t xml:space="preserve"> (</w:t>
      </w:r>
      <w:proofErr w:type="spellStart"/>
      <w:r w:rsidR="00F11701" w:rsidRPr="008A57B9">
        <w:t>ie</w:t>
      </w:r>
      <w:proofErr w:type="spellEnd"/>
      <w:r w:rsidR="00F11701" w:rsidRPr="008A57B9">
        <w:t xml:space="preserve"> wildlife trade that involves cross-border transactions)</w:t>
      </w:r>
      <w:r w:rsidRPr="008A57B9">
        <w:t>,</w:t>
      </w:r>
      <w:r w:rsidR="00F97A04" w:rsidRPr="008A57B9">
        <w:t xml:space="preserve"> and NOT </w:t>
      </w:r>
      <w:r w:rsidR="00F11701" w:rsidRPr="008A57B9">
        <w:t>illegal use of wildlife for local subsistence use or trade (</w:t>
      </w:r>
      <w:r w:rsidRPr="008A57B9">
        <w:t xml:space="preserve">e.g. </w:t>
      </w:r>
      <w:r w:rsidR="00F11701" w:rsidRPr="008A57B9">
        <w:t xml:space="preserve">local </w:t>
      </w:r>
      <w:proofErr w:type="spellStart"/>
      <w:r w:rsidR="00F11701" w:rsidRPr="008A57B9">
        <w:t>bushmeat</w:t>
      </w:r>
      <w:proofErr w:type="spellEnd"/>
      <w:r w:rsidR="00F11701" w:rsidRPr="008A57B9">
        <w:t xml:space="preserve"> trade). </w:t>
      </w:r>
    </w:p>
    <w:p w:rsidR="009804DE" w:rsidRPr="008A57B9" w:rsidRDefault="009804DE" w:rsidP="009804DE"/>
    <w:p w:rsidR="009804DE" w:rsidRPr="008A57B9" w:rsidRDefault="009804DE" w:rsidP="009804DE">
      <w:r w:rsidRPr="008A57B9">
        <w:t xml:space="preserve">We would particularly like to encourage proposals for presentations from people who are members of </w:t>
      </w:r>
      <w:r w:rsidR="00E62562" w:rsidRPr="003F5408">
        <w:t>Indigenous Peoples and Local</w:t>
      </w:r>
      <w:r w:rsidR="00E62562">
        <w:rPr>
          <w:b/>
        </w:rPr>
        <w:t xml:space="preserve"> </w:t>
      </w:r>
      <w:r w:rsidRPr="008A57B9">
        <w:t xml:space="preserve">communities affected by or engaged in </w:t>
      </w:r>
      <w:r w:rsidRPr="008A57B9">
        <w:rPr>
          <w:rFonts w:cs="Times New Roman"/>
        </w:rPr>
        <w:t>tackling</w:t>
      </w:r>
      <w:r w:rsidR="008A57B9" w:rsidRPr="008A57B9">
        <w:rPr>
          <w:rFonts w:cs="Times New Roman"/>
        </w:rPr>
        <w:t xml:space="preserve"> illegal international </w:t>
      </w:r>
      <w:r w:rsidRPr="008A57B9">
        <w:rPr>
          <w:rFonts w:cs="Times New Roman"/>
        </w:rPr>
        <w:t>wildlife</w:t>
      </w:r>
      <w:r w:rsidRPr="008A57B9">
        <w:t xml:space="preserve"> </w:t>
      </w:r>
      <w:r w:rsidR="008A57B9" w:rsidRPr="008A57B9">
        <w:t>trade</w:t>
      </w:r>
      <w:r w:rsidRPr="008A57B9">
        <w:t>, or community support organisations; and from those with governmental (or inter-government</w:t>
      </w:r>
      <w:r w:rsidR="00E62562">
        <w:t>al</w:t>
      </w:r>
      <w:r w:rsidRPr="008A57B9">
        <w:t xml:space="preserve">) responsibilities </w:t>
      </w:r>
      <w:r w:rsidR="00E62562">
        <w:t xml:space="preserve">or representing donor commitments </w:t>
      </w:r>
      <w:r w:rsidRPr="008A57B9">
        <w:t xml:space="preserve">for addressing wildlife crime. </w:t>
      </w:r>
    </w:p>
    <w:p w:rsidR="00784127" w:rsidRPr="00784127" w:rsidRDefault="00784127" w:rsidP="009804DE">
      <w:pPr>
        <w:rPr>
          <w:rFonts w:cs="Times New Roman"/>
        </w:rPr>
      </w:pPr>
    </w:p>
    <w:p w:rsidR="00784127" w:rsidRPr="00784127" w:rsidRDefault="00784127" w:rsidP="009804DE">
      <w:pPr>
        <w:rPr>
          <w:rFonts w:cs="Times New Roman"/>
        </w:rPr>
      </w:pPr>
      <w:r w:rsidRPr="00784127">
        <w:rPr>
          <w:rFonts w:cs="Times New Roman"/>
        </w:rPr>
        <w:t xml:space="preserve">We can offer funding to meet travel and accommodation costs for selected participants. </w:t>
      </w:r>
    </w:p>
    <w:p w:rsidR="009804DE" w:rsidRPr="008A57B9" w:rsidRDefault="009804DE" w:rsidP="009804DE"/>
    <w:p w:rsidR="009804DE" w:rsidRPr="008A57B9" w:rsidRDefault="009804DE" w:rsidP="009804DE">
      <w:r w:rsidRPr="008A57B9">
        <w:t xml:space="preserve">We are also interested in contact from people without specific analyses/examples to present, but with </w:t>
      </w:r>
      <w:r w:rsidRPr="00D014A7">
        <w:rPr>
          <w:b/>
        </w:rPr>
        <w:t>direct experience to share</w:t>
      </w:r>
      <w:r w:rsidRPr="008A57B9">
        <w:t xml:space="preserve"> in discussion.</w:t>
      </w:r>
    </w:p>
    <w:p w:rsidR="009804DE" w:rsidRPr="008A57B9" w:rsidRDefault="009804DE" w:rsidP="009804DE"/>
    <w:p w:rsidR="009804DE" w:rsidRPr="008A57B9" w:rsidRDefault="009804DE" w:rsidP="009804DE">
      <w:pPr>
        <w:pStyle w:val="BodyA"/>
        <w:suppressAutoHyphens/>
        <w:rPr>
          <w:rFonts w:asciiTheme="minorHAnsi" w:hAnsiTheme="minorHAnsi"/>
        </w:rPr>
      </w:pPr>
      <w:r w:rsidRPr="008A57B9">
        <w:rPr>
          <w:rFonts w:asciiTheme="minorHAnsi" w:hAnsiTheme="minorHAnsi"/>
          <w:lang w:val="en-US"/>
        </w:rPr>
        <w:t xml:space="preserve">Proposals are invited on any aspect of the topic, but particularly in the following areas:  </w:t>
      </w:r>
    </w:p>
    <w:p w:rsidR="009804DE" w:rsidRPr="008A57B9" w:rsidRDefault="009804DE" w:rsidP="009804DE">
      <w:pPr>
        <w:pStyle w:val="BodyA"/>
        <w:suppressAutoHyphens/>
        <w:rPr>
          <w:rFonts w:asciiTheme="minorHAnsi" w:hAnsiTheme="minorHAnsi"/>
        </w:rPr>
      </w:pPr>
    </w:p>
    <w:p w:rsidR="009804DE" w:rsidRPr="008A57B9" w:rsidRDefault="009804DE" w:rsidP="009804DE">
      <w:pPr>
        <w:pStyle w:val="Paragraphedeliste"/>
        <w:numPr>
          <w:ilvl w:val="0"/>
          <w:numId w:val="1"/>
        </w:numPr>
        <w:suppressAutoHyphens/>
        <w:ind w:left="690" w:hanging="330"/>
        <w:rPr>
          <w:rFonts w:asciiTheme="minorHAnsi" w:hAnsiTheme="minorHAnsi"/>
          <w:sz w:val="24"/>
          <w:lang w:val="en-US"/>
        </w:rPr>
      </w:pPr>
      <w:r w:rsidRPr="008A57B9">
        <w:rPr>
          <w:rFonts w:asciiTheme="minorHAnsi" w:hAnsiTheme="minorHAnsi"/>
          <w:b/>
          <w:sz w:val="24"/>
          <w:lang w:val="en-US"/>
        </w:rPr>
        <w:t xml:space="preserve">Impacts of enforcement on </w:t>
      </w:r>
      <w:r w:rsidR="003F5408">
        <w:rPr>
          <w:rFonts w:asciiTheme="minorHAnsi" w:hAnsiTheme="minorHAnsi"/>
          <w:b/>
          <w:sz w:val="24"/>
          <w:lang w:val="en-US"/>
        </w:rPr>
        <w:t>indigenous peoples and l</w:t>
      </w:r>
      <w:r w:rsidR="00E62562" w:rsidRPr="003F5408">
        <w:rPr>
          <w:rFonts w:asciiTheme="minorHAnsi" w:hAnsiTheme="minorHAnsi"/>
          <w:b/>
          <w:sz w:val="24"/>
          <w:lang w:val="en-US"/>
        </w:rPr>
        <w:t>ocal</w:t>
      </w:r>
      <w:r w:rsidR="00E62562" w:rsidRPr="00CF54D3">
        <w:rPr>
          <w:b/>
          <w:lang w:val="en-GB"/>
        </w:rPr>
        <w:t xml:space="preserve"> </w:t>
      </w:r>
      <w:r w:rsidRPr="008A57B9">
        <w:rPr>
          <w:rFonts w:asciiTheme="minorHAnsi" w:hAnsiTheme="minorHAnsi"/>
          <w:b/>
          <w:sz w:val="24"/>
          <w:lang w:val="en-US"/>
        </w:rPr>
        <w:t>communities:</w:t>
      </w:r>
      <w:r w:rsidRPr="008A57B9">
        <w:rPr>
          <w:rFonts w:asciiTheme="minorHAnsi" w:hAnsiTheme="minorHAnsi"/>
          <w:sz w:val="24"/>
          <w:lang w:val="en-US"/>
        </w:rPr>
        <w:t xml:space="preserve"> How are current enforcement strategies impacting on communities? </w:t>
      </w:r>
    </w:p>
    <w:p w:rsidR="009804DE" w:rsidRPr="008A57B9" w:rsidRDefault="009804DE" w:rsidP="009804DE">
      <w:pPr>
        <w:pStyle w:val="Paragraphedeliste"/>
        <w:suppressAutoHyphens/>
        <w:rPr>
          <w:rFonts w:asciiTheme="minorHAnsi" w:hAnsiTheme="minorHAnsi"/>
          <w:sz w:val="24"/>
          <w:lang w:val="en-US"/>
        </w:rPr>
      </w:pPr>
    </w:p>
    <w:p w:rsidR="009804DE" w:rsidRPr="008A57B9" w:rsidRDefault="009804DE" w:rsidP="009804DE">
      <w:pPr>
        <w:pStyle w:val="Paragraphedeliste"/>
        <w:numPr>
          <w:ilvl w:val="0"/>
          <w:numId w:val="2"/>
        </w:numPr>
        <w:tabs>
          <w:tab w:val="num" w:pos="690"/>
        </w:tabs>
        <w:suppressAutoHyphens/>
        <w:ind w:left="690" w:hanging="330"/>
        <w:rPr>
          <w:rFonts w:asciiTheme="minorHAnsi" w:hAnsiTheme="minorHAnsi"/>
          <w:b/>
          <w:sz w:val="24"/>
          <w:lang w:val="en-US"/>
        </w:rPr>
      </w:pPr>
      <w:r w:rsidRPr="00CF54D3">
        <w:rPr>
          <w:rFonts w:asciiTheme="minorHAnsi" w:hAnsiTheme="minorHAnsi"/>
          <w:b/>
          <w:sz w:val="24"/>
          <w:lang w:val="en-GB"/>
        </w:rPr>
        <w:t xml:space="preserve">Understanding and quantifying the negative impact of wildlife crime on sustainable livelihoods and economic development: </w:t>
      </w:r>
      <w:r w:rsidRPr="00CF54D3">
        <w:rPr>
          <w:rFonts w:asciiTheme="minorHAnsi" w:hAnsiTheme="minorHAnsi"/>
          <w:sz w:val="24"/>
          <w:lang w:val="en-GB"/>
        </w:rPr>
        <w:t xml:space="preserve">How is illegal wildlife trade impacting on </w:t>
      </w:r>
      <w:r w:rsidR="00784127" w:rsidRPr="00CF54D3">
        <w:rPr>
          <w:rFonts w:asciiTheme="minorHAnsi" w:hAnsiTheme="minorHAnsi" w:cs="Times New Roman"/>
          <w:sz w:val="24"/>
          <w:szCs w:val="24"/>
          <w:lang w:val="en-GB"/>
        </w:rPr>
        <w:t xml:space="preserve">indigenous </w:t>
      </w:r>
      <w:r w:rsidR="00E62562" w:rsidRPr="00CF54D3">
        <w:rPr>
          <w:rFonts w:asciiTheme="minorHAnsi" w:hAnsiTheme="minorHAnsi" w:cs="Times New Roman"/>
          <w:sz w:val="24"/>
          <w:szCs w:val="24"/>
          <w:lang w:val="en-GB"/>
        </w:rPr>
        <w:t xml:space="preserve">peoples </w:t>
      </w:r>
      <w:r w:rsidR="00784127" w:rsidRPr="00CF54D3">
        <w:rPr>
          <w:rFonts w:asciiTheme="minorHAnsi" w:hAnsiTheme="minorHAnsi" w:cs="Times New Roman"/>
          <w:sz w:val="24"/>
          <w:szCs w:val="24"/>
          <w:lang w:val="en-GB"/>
        </w:rPr>
        <w:t xml:space="preserve">and local </w:t>
      </w:r>
      <w:r w:rsidRPr="00CF54D3">
        <w:rPr>
          <w:rFonts w:asciiTheme="minorHAnsi" w:hAnsiTheme="minorHAnsi"/>
          <w:sz w:val="24"/>
          <w:lang w:val="en-GB"/>
        </w:rPr>
        <w:t xml:space="preserve">communities? </w:t>
      </w:r>
    </w:p>
    <w:p w:rsidR="009804DE" w:rsidRPr="008A57B9" w:rsidRDefault="009804DE" w:rsidP="009804DE">
      <w:pPr>
        <w:pStyle w:val="Paragraphedeliste"/>
        <w:suppressAutoHyphens/>
        <w:rPr>
          <w:rFonts w:asciiTheme="minorHAnsi" w:hAnsiTheme="minorHAnsi"/>
          <w:sz w:val="24"/>
          <w:lang w:val="en-US"/>
        </w:rPr>
      </w:pPr>
    </w:p>
    <w:p w:rsidR="009804DE" w:rsidRPr="008A57B9" w:rsidRDefault="009804DE" w:rsidP="009804DE">
      <w:pPr>
        <w:pStyle w:val="Paragraphedeliste"/>
        <w:numPr>
          <w:ilvl w:val="0"/>
          <w:numId w:val="3"/>
        </w:numPr>
        <w:tabs>
          <w:tab w:val="num" w:pos="690"/>
        </w:tabs>
        <w:suppressAutoHyphens/>
        <w:ind w:left="690" w:hanging="330"/>
        <w:rPr>
          <w:rFonts w:asciiTheme="minorHAnsi" w:hAnsiTheme="minorHAnsi"/>
          <w:sz w:val="24"/>
          <w:lang w:val="en-US"/>
        </w:rPr>
      </w:pPr>
      <w:r w:rsidRPr="008A57B9">
        <w:rPr>
          <w:rFonts w:asciiTheme="minorHAnsi" w:hAnsiTheme="minorHAnsi"/>
          <w:b/>
          <w:sz w:val="24"/>
          <w:lang w:val="en-US"/>
        </w:rPr>
        <w:t xml:space="preserve">Engaging </w:t>
      </w:r>
      <w:r w:rsidR="003F5408">
        <w:rPr>
          <w:rFonts w:asciiTheme="minorHAnsi" w:hAnsiTheme="minorHAnsi"/>
          <w:b/>
          <w:sz w:val="24"/>
          <w:lang w:val="en-US"/>
        </w:rPr>
        <w:t>indigenous p</w:t>
      </w:r>
      <w:r w:rsidR="00E62562" w:rsidRPr="003F5408">
        <w:rPr>
          <w:rFonts w:asciiTheme="minorHAnsi" w:hAnsiTheme="minorHAnsi"/>
          <w:b/>
          <w:sz w:val="24"/>
          <w:lang w:val="en-US"/>
        </w:rPr>
        <w:t>eo</w:t>
      </w:r>
      <w:r w:rsidR="003F5408">
        <w:rPr>
          <w:rFonts w:asciiTheme="minorHAnsi" w:hAnsiTheme="minorHAnsi"/>
          <w:b/>
          <w:sz w:val="24"/>
          <w:lang w:val="en-US"/>
        </w:rPr>
        <w:t>ples and l</w:t>
      </w:r>
      <w:r w:rsidR="00E62562" w:rsidRPr="003F5408">
        <w:rPr>
          <w:rFonts w:asciiTheme="minorHAnsi" w:hAnsiTheme="minorHAnsi"/>
          <w:b/>
          <w:sz w:val="24"/>
          <w:lang w:val="en-US"/>
        </w:rPr>
        <w:t xml:space="preserve">ocal </w:t>
      </w:r>
      <w:r w:rsidRPr="008A57B9">
        <w:rPr>
          <w:rFonts w:asciiTheme="minorHAnsi" w:hAnsiTheme="minorHAnsi"/>
          <w:b/>
          <w:sz w:val="24"/>
          <w:lang w:val="en-US"/>
        </w:rPr>
        <w:t>communities in conservation:</w:t>
      </w:r>
      <w:r w:rsidRPr="008A57B9">
        <w:rPr>
          <w:rFonts w:asciiTheme="minorHAnsi" w:hAnsiTheme="minorHAnsi"/>
          <w:sz w:val="24"/>
          <w:lang w:val="en-US"/>
        </w:rPr>
        <w:t xml:space="preserve"> Where and how has strengthening community rights to manage and use or benefit from wild resources successfully reduced wildlife crime? </w:t>
      </w:r>
    </w:p>
    <w:p w:rsidR="009804DE" w:rsidRPr="008A57B9" w:rsidRDefault="009804DE" w:rsidP="009804DE">
      <w:pPr>
        <w:pStyle w:val="BodyA"/>
        <w:suppressAutoHyphens/>
        <w:rPr>
          <w:rFonts w:asciiTheme="minorHAnsi" w:hAnsiTheme="minorHAnsi"/>
          <w:lang w:val="en-US"/>
        </w:rPr>
      </w:pPr>
    </w:p>
    <w:p w:rsidR="009804DE" w:rsidRPr="008A57B9" w:rsidRDefault="009804DE" w:rsidP="009804DE">
      <w:pPr>
        <w:pStyle w:val="Paragraphedeliste"/>
        <w:numPr>
          <w:ilvl w:val="0"/>
          <w:numId w:val="4"/>
        </w:numPr>
        <w:tabs>
          <w:tab w:val="num" w:pos="690"/>
        </w:tabs>
        <w:suppressAutoHyphens/>
        <w:ind w:left="690" w:hanging="330"/>
        <w:rPr>
          <w:rFonts w:asciiTheme="minorHAnsi" w:hAnsiTheme="minorHAnsi"/>
          <w:sz w:val="24"/>
          <w:lang w:val="en-US"/>
        </w:rPr>
      </w:pPr>
      <w:r w:rsidRPr="008A57B9">
        <w:rPr>
          <w:rFonts w:asciiTheme="minorHAnsi" w:hAnsiTheme="minorHAnsi"/>
          <w:b/>
          <w:sz w:val="24"/>
          <w:lang w:val="en-US"/>
        </w:rPr>
        <w:t xml:space="preserve">Involving </w:t>
      </w:r>
      <w:r w:rsidR="00173728">
        <w:rPr>
          <w:rFonts w:asciiTheme="minorHAnsi" w:hAnsiTheme="minorHAnsi"/>
          <w:b/>
          <w:sz w:val="24"/>
          <w:lang w:val="en-US"/>
        </w:rPr>
        <w:t>indigenous peoples and l</w:t>
      </w:r>
      <w:r w:rsidR="00E62562" w:rsidRPr="003F5408">
        <w:rPr>
          <w:rFonts w:asciiTheme="minorHAnsi" w:hAnsiTheme="minorHAnsi"/>
          <w:b/>
          <w:sz w:val="24"/>
          <w:lang w:val="en-US"/>
        </w:rPr>
        <w:t>ocal</w:t>
      </w:r>
      <w:r w:rsidR="00E62562" w:rsidRPr="00CF54D3">
        <w:rPr>
          <w:b/>
          <w:lang w:val="en-GB"/>
        </w:rPr>
        <w:t xml:space="preserve"> </w:t>
      </w:r>
      <w:r w:rsidRPr="008A57B9">
        <w:rPr>
          <w:rFonts w:asciiTheme="minorHAnsi" w:hAnsiTheme="minorHAnsi"/>
          <w:b/>
          <w:sz w:val="24"/>
          <w:lang w:val="en-US"/>
        </w:rPr>
        <w:t>communities in law enforcement efforts:</w:t>
      </w:r>
      <w:r w:rsidRPr="008A57B9">
        <w:rPr>
          <w:rFonts w:asciiTheme="minorHAnsi" w:hAnsiTheme="minorHAnsi"/>
          <w:sz w:val="24"/>
          <w:lang w:val="en-US"/>
        </w:rPr>
        <w:t xml:space="preserve"> Where and how are communities actively engaging in enforcement efforts, and what factors underpin success? </w:t>
      </w:r>
    </w:p>
    <w:p w:rsidR="00304ED1" w:rsidRPr="008A57B9" w:rsidRDefault="00304ED1" w:rsidP="008A57B9">
      <w:pPr>
        <w:suppressAutoHyphens/>
        <w:ind w:left="360"/>
      </w:pPr>
    </w:p>
    <w:p w:rsidR="00CE5890" w:rsidRPr="008A57B9" w:rsidRDefault="00CE5890" w:rsidP="009804DE">
      <w:pPr>
        <w:pStyle w:val="Paragraphedeliste"/>
        <w:numPr>
          <w:ilvl w:val="0"/>
          <w:numId w:val="4"/>
        </w:numPr>
        <w:tabs>
          <w:tab w:val="num" w:pos="690"/>
        </w:tabs>
        <w:suppressAutoHyphens/>
        <w:ind w:left="690" w:hanging="330"/>
        <w:rPr>
          <w:rFonts w:asciiTheme="minorHAnsi" w:hAnsiTheme="minorHAnsi" w:cs="Times New Roman"/>
          <w:sz w:val="24"/>
          <w:szCs w:val="24"/>
          <w:lang w:val="en-US"/>
        </w:rPr>
      </w:pPr>
      <w:r w:rsidRPr="008A57B9">
        <w:rPr>
          <w:rFonts w:asciiTheme="minorHAnsi" w:hAnsiTheme="minorHAnsi" w:cs="Times New Roman"/>
          <w:b/>
          <w:bCs/>
          <w:sz w:val="24"/>
          <w:szCs w:val="24"/>
          <w:lang w:val="en-US"/>
        </w:rPr>
        <w:t>Combating</w:t>
      </w:r>
      <w:r w:rsidR="00173728">
        <w:rPr>
          <w:rFonts w:asciiTheme="minorHAnsi" w:hAnsiTheme="minorHAnsi" w:cs="Times New Roman"/>
          <w:b/>
          <w:bCs/>
          <w:sz w:val="24"/>
          <w:szCs w:val="24"/>
          <w:lang w:val="en-US"/>
        </w:rPr>
        <w:t xml:space="preserve"> illegal wildlife hunting within indigenous peoples' and l</w:t>
      </w:r>
      <w:r w:rsidR="00E62562" w:rsidRPr="00173728">
        <w:rPr>
          <w:rFonts w:asciiTheme="minorHAnsi" w:hAnsiTheme="minorHAnsi" w:cs="Times New Roman"/>
          <w:b/>
          <w:bCs/>
          <w:sz w:val="24"/>
          <w:szCs w:val="24"/>
          <w:lang w:val="en-US"/>
        </w:rPr>
        <w:t>ocal</w:t>
      </w:r>
      <w:r w:rsidR="00E62562" w:rsidRPr="00CF54D3">
        <w:rPr>
          <w:b/>
          <w:lang w:val="en-GB"/>
        </w:rPr>
        <w:t xml:space="preserve"> </w:t>
      </w:r>
      <w:r w:rsidRPr="008A57B9">
        <w:rPr>
          <w:rFonts w:asciiTheme="minorHAnsi" w:hAnsiTheme="minorHAnsi" w:cs="Times New Roman"/>
          <w:b/>
          <w:bCs/>
          <w:sz w:val="24"/>
          <w:szCs w:val="24"/>
          <w:lang w:val="en-US"/>
        </w:rPr>
        <w:t>community hunting territories:</w:t>
      </w:r>
      <w:r w:rsidRPr="008A57B9">
        <w:rPr>
          <w:rFonts w:asciiTheme="minorHAnsi" w:hAnsiTheme="minorHAnsi" w:cs="Times New Roman"/>
          <w:sz w:val="24"/>
          <w:szCs w:val="24"/>
          <w:lang w:val="en-US"/>
        </w:rPr>
        <w:t xml:space="preserve"> How do communities deal with illegal hunting </w:t>
      </w:r>
      <w:r w:rsidR="00745585" w:rsidRPr="008A57B9">
        <w:rPr>
          <w:rFonts w:asciiTheme="minorHAnsi" w:hAnsiTheme="minorHAnsi" w:cs="Times New Roman"/>
          <w:sz w:val="24"/>
          <w:szCs w:val="24"/>
          <w:lang w:val="en-US"/>
        </w:rPr>
        <w:t xml:space="preserve">for IWT </w:t>
      </w:r>
      <w:r w:rsidRPr="008A57B9">
        <w:rPr>
          <w:rFonts w:asciiTheme="minorHAnsi" w:hAnsiTheme="minorHAnsi" w:cs="Times New Roman"/>
          <w:sz w:val="24"/>
          <w:szCs w:val="24"/>
          <w:lang w:val="en-US"/>
        </w:rPr>
        <w:t xml:space="preserve">within their community managed hunting zones? </w:t>
      </w:r>
    </w:p>
    <w:p w:rsidR="009804DE" w:rsidRPr="00CF54D3" w:rsidRDefault="009804DE" w:rsidP="009804DE">
      <w:pPr>
        <w:pStyle w:val="Paragraphedeliste"/>
        <w:suppressAutoHyphens/>
        <w:rPr>
          <w:rFonts w:ascii="Times New Roman" w:hAnsi="Times New Roman" w:cs="Times New Roman"/>
          <w:sz w:val="24"/>
          <w:szCs w:val="24"/>
          <w:lang w:val="en-GB"/>
        </w:rPr>
      </w:pPr>
    </w:p>
    <w:p w:rsidR="009804DE" w:rsidRPr="008A57B9" w:rsidRDefault="009804DE" w:rsidP="009804DE">
      <w:pPr>
        <w:pStyle w:val="BodyA"/>
        <w:suppressAutoHyphens/>
      </w:pPr>
      <w:r w:rsidRPr="008A57B9">
        <w:rPr>
          <w:lang w:val="en-US"/>
        </w:rPr>
        <w:t xml:space="preserve">Please send a proposal </w:t>
      </w:r>
      <w:r w:rsidR="00745585" w:rsidRPr="008A57B9">
        <w:rPr>
          <w:rFonts w:cs="Times New Roman"/>
          <w:lang w:val="en-US"/>
        </w:rPr>
        <w:t xml:space="preserve">for your presentation, </w:t>
      </w:r>
      <w:r w:rsidRPr="008A57B9">
        <w:rPr>
          <w:lang w:val="en-US"/>
        </w:rPr>
        <w:t>of approx. 300 words</w:t>
      </w:r>
      <w:r w:rsidR="00745585" w:rsidRPr="008A57B9">
        <w:rPr>
          <w:rFonts w:cs="Times New Roman"/>
          <w:lang w:val="en-US"/>
        </w:rPr>
        <w:t>,</w:t>
      </w:r>
      <w:r w:rsidRPr="008A57B9">
        <w:rPr>
          <w:lang w:val="en-US"/>
        </w:rPr>
        <w:t xml:space="preserve"> to suli.iucn@gmail.com by </w:t>
      </w:r>
      <w:r w:rsidR="005377C1">
        <w:rPr>
          <w:b/>
        </w:rPr>
        <w:t>15</w:t>
      </w:r>
      <w:r w:rsidRPr="008A57B9">
        <w:rPr>
          <w:b/>
        </w:rPr>
        <w:t>th January</w:t>
      </w:r>
      <w:r w:rsidR="00745585" w:rsidRPr="008A57B9">
        <w:rPr>
          <w:b/>
        </w:rPr>
        <w:t xml:space="preserve"> </w:t>
      </w:r>
      <w:r w:rsidRPr="008A57B9">
        <w:rPr>
          <w:b/>
        </w:rPr>
        <w:t xml:space="preserve">2016, </w:t>
      </w:r>
      <w:r w:rsidRPr="008A57B9">
        <w:rPr>
          <w:lang w:val="en-US"/>
        </w:rPr>
        <w:t xml:space="preserve">including the words </w:t>
      </w:r>
      <w:r w:rsidRPr="008A57B9">
        <w:rPr>
          <w:b/>
          <w:lang w:val="en-US"/>
        </w:rPr>
        <w:t>"Call for Workshop Participation"</w:t>
      </w:r>
      <w:r w:rsidRPr="008A57B9">
        <w:rPr>
          <w:lang w:val="en-US"/>
        </w:rPr>
        <w:t xml:space="preserve"> in the title.</w:t>
      </w:r>
    </w:p>
    <w:p w:rsidR="00E454D3" w:rsidRPr="008A57B9" w:rsidRDefault="00E454D3" w:rsidP="00E454D3">
      <w:pPr>
        <w:spacing w:before="240" w:after="120"/>
        <w:rPr>
          <w:b/>
          <w:color w:val="000000"/>
        </w:rPr>
      </w:pPr>
      <w:r w:rsidRPr="008A57B9">
        <w:rPr>
          <w:b/>
          <w:color w:val="000000"/>
        </w:rPr>
        <w:t>BACKGROUND</w:t>
      </w:r>
    </w:p>
    <w:p w:rsidR="00E454D3" w:rsidRPr="008A57B9" w:rsidRDefault="00E454D3" w:rsidP="00E454D3">
      <w:pPr>
        <w:tabs>
          <w:tab w:val="left" w:pos="1571"/>
        </w:tabs>
        <w:spacing w:after="160" w:line="259" w:lineRule="auto"/>
        <w:rPr>
          <w:color w:val="000000"/>
        </w:rPr>
      </w:pPr>
      <w:r w:rsidRPr="008A57B9">
        <w:rPr>
          <w:color w:val="000000"/>
        </w:rPr>
        <w:t>Globally, poaching and associated illegal wildlife trade (IWT) is devastating populations of iconic wildlife species such as rhinos and elephants, as well as a host of lesser known ones</w:t>
      </w:r>
      <w:r w:rsidR="00482E95">
        <w:rPr>
          <w:rFonts w:eastAsia="Calibri" w:cs="Calibri"/>
          <w:color w:val="000000"/>
        </w:rPr>
        <w:t>.</w:t>
      </w:r>
      <w:r w:rsidRPr="008A57B9">
        <w:rPr>
          <w:color w:val="000000"/>
        </w:rPr>
        <w:t xml:space="preserve"> </w:t>
      </w:r>
      <w:r w:rsidR="004E7156" w:rsidRPr="008A57B9">
        <w:rPr>
          <w:rFonts w:eastAsia="Calibri" w:cs="Calibri"/>
          <w:color w:val="000000"/>
        </w:rPr>
        <w:t>Across West and Central Africa</w:t>
      </w:r>
      <w:r w:rsidRPr="008A57B9">
        <w:rPr>
          <w:color w:val="000000"/>
        </w:rPr>
        <w:t xml:space="preserve">, IWT is a particular concern for elephants, timber, </w:t>
      </w:r>
      <w:r w:rsidR="004E7156" w:rsidRPr="008A57B9">
        <w:rPr>
          <w:rFonts w:eastAsia="Calibri" w:cs="Calibri"/>
          <w:color w:val="000000"/>
        </w:rPr>
        <w:t>great apes</w:t>
      </w:r>
      <w:r w:rsidR="00482E95">
        <w:rPr>
          <w:rFonts w:eastAsia="Calibri" w:cs="Calibri"/>
          <w:color w:val="000000"/>
        </w:rPr>
        <w:t xml:space="preserve">, </w:t>
      </w:r>
      <w:r w:rsidR="00482E95" w:rsidRPr="00784127">
        <w:rPr>
          <w:rFonts w:eastAsia="Calibri" w:cs="Calibri"/>
          <w:color w:val="000000"/>
        </w:rPr>
        <w:t xml:space="preserve">pangolins, birds, reptiles, </w:t>
      </w:r>
      <w:r w:rsidR="00482E95">
        <w:rPr>
          <w:rFonts w:eastAsia="Calibri" w:cs="Calibri"/>
          <w:color w:val="000000"/>
        </w:rPr>
        <w:t xml:space="preserve">and </w:t>
      </w:r>
      <w:r w:rsidR="00482E95" w:rsidRPr="00784127">
        <w:rPr>
          <w:rFonts w:eastAsia="Calibri" w:cs="Calibri"/>
          <w:color w:val="000000"/>
        </w:rPr>
        <w:t xml:space="preserve">medicinal </w:t>
      </w:r>
      <w:proofErr w:type="gramStart"/>
      <w:r w:rsidR="00482E95" w:rsidRPr="00784127">
        <w:rPr>
          <w:rFonts w:eastAsia="Calibri" w:cs="Calibri"/>
          <w:color w:val="000000"/>
        </w:rPr>
        <w:t>plants .</w:t>
      </w:r>
      <w:proofErr w:type="gramEnd"/>
    </w:p>
    <w:p w:rsidR="00E454D3" w:rsidRPr="008A57B9" w:rsidRDefault="00E454D3" w:rsidP="00E454D3">
      <w:r w:rsidRPr="008A57B9">
        <w:rPr>
          <w:color w:val="000000"/>
        </w:rPr>
        <w:t xml:space="preserve">IWT is a major focus of current conservation concern and policy development, including through the African Elephant Summit (Botswana, November 2013), the EU Parliament Resolution on Wildlife Crime (January 2014) and the high-level Conferences on Illegal Wildlife Trade in London (February 2014) and in </w:t>
      </w:r>
      <w:proofErr w:type="spellStart"/>
      <w:r w:rsidR="00ED0812" w:rsidRPr="008A57B9">
        <w:rPr>
          <w:color w:val="000000"/>
        </w:rPr>
        <w:t>Kasane</w:t>
      </w:r>
      <w:proofErr w:type="spellEnd"/>
      <w:r w:rsidR="00ED0812" w:rsidRPr="008A57B9">
        <w:rPr>
          <w:color w:val="000000"/>
        </w:rPr>
        <w:t xml:space="preserve">, </w:t>
      </w:r>
      <w:r w:rsidRPr="008A57B9">
        <w:rPr>
          <w:color w:val="000000"/>
        </w:rPr>
        <w:t xml:space="preserve">Botswana (March 2015), and the </w:t>
      </w:r>
      <w:r w:rsidRPr="008A57B9">
        <w:t>International Conference on Illegal Exploitation and Illicit Trade in Wild Flora and Fauna in Africa (Brazzaville, Congo, April 2015). These conferences and policy statements</w:t>
      </w:r>
      <w:r w:rsidR="00E62562">
        <w:t>, alongside several African sub-regional ones,</w:t>
      </w:r>
      <w:r w:rsidRPr="008A57B9">
        <w:t xml:space="preserve"> have increasingly recognised the important role of the </w:t>
      </w:r>
      <w:r w:rsidR="00E62562" w:rsidRPr="003F5408">
        <w:t>Indigenous Peoples and Local</w:t>
      </w:r>
      <w:r w:rsidR="00E62562">
        <w:rPr>
          <w:b/>
        </w:rPr>
        <w:t xml:space="preserve"> </w:t>
      </w:r>
      <w:r w:rsidRPr="008A57B9">
        <w:t xml:space="preserve">communities who live close to wildlife in addressing IWT (see Table below). </w:t>
      </w:r>
    </w:p>
    <w:p w:rsidR="00E454D3" w:rsidRPr="008A57B9" w:rsidRDefault="00E454D3" w:rsidP="00E454D3"/>
    <w:tbl>
      <w:tblPr>
        <w:tblStyle w:val="Grilledutableau"/>
        <w:tblW w:w="0" w:type="auto"/>
        <w:tblLook w:val="04A0" w:firstRow="1" w:lastRow="0" w:firstColumn="1" w:lastColumn="0" w:noHBand="0" w:noVBand="1"/>
      </w:tblPr>
      <w:tblGrid>
        <w:gridCol w:w="2235"/>
        <w:gridCol w:w="6281"/>
      </w:tblGrid>
      <w:tr w:rsidR="00ED0812" w:rsidTr="00173728">
        <w:tc>
          <w:tcPr>
            <w:tcW w:w="2235" w:type="dxa"/>
            <w:tcBorders>
              <w:bottom w:val="nil"/>
            </w:tcBorders>
          </w:tcPr>
          <w:p w:rsidR="00ED0812" w:rsidRDefault="00ED0812" w:rsidP="00E454D3">
            <w:pPr>
              <w:rPr>
                <w:rFonts w:eastAsia="Times New Roman" w:cs="Times New Roman"/>
                <w:sz w:val="24"/>
                <w:szCs w:val="24"/>
                <w:lang w:val="en-AU"/>
              </w:rPr>
            </w:pPr>
            <w:r w:rsidRPr="008A57B9">
              <w:rPr>
                <w:rFonts w:eastAsiaTheme="minorEastAsia"/>
                <w:sz w:val="24"/>
                <w:szCs w:val="24"/>
              </w:rPr>
              <w:t>London Declaration</w:t>
            </w:r>
          </w:p>
          <w:p w:rsidR="00ED0812" w:rsidRPr="00784127" w:rsidRDefault="00ED0812" w:rsidP="00E454D3">
            <w:pPr>
              <w:rPr>
                <w:sz w:val="24"/>
                <w:lang w:val="en-AU"/>
              </w:rPr>
            </w:pPr>
          </w:p>
        </w:tc>
        <w:tc>
          <w:tcPr>
            <w:tcW w:w="6281" w:type="dxa"/>
            <w:tcBorders>
              <w:bottom w:val="nil"/>
            </w:tcBorders>
          </w:tcPr>
          <w:p w:rsidR="00ED0812" w:rsidRPr="00784127" w:rsidRDefault="00ED0812" w:rsidP="00E454D3">
            <w:pPr>
              <w:rPr>
                <w:sz w:val="24"/>
                <w:lang w:val="en-AU"/>
              </w:rPr>
            </w:pPr>
            <w:r w:rsidRPr="008A57B9">
              <w:rPr>
                <w:b/>
              </w:rPr>
              <w:t xml:space="preserve">Recognise the negative impact of illegal wildlife trade on sustainable livelihoods and economic development. </w:t>
            </w:r>
            <w:r w:rsidRPr="00784127">
              <w:t>This impact needs to be better understood and quantified</w:t>
            </w:r>
          </w:p>
        </w:tc>
      </w:tr>
      <w:tr w:rsidR="00ED0812" w:rsidTr="00173728">
        <w:tc>
          <w:tcPr>
            <w:tcW w:w="2235" w:type="dxa"/>
            <w:tcBorders>
              <w:top w:val="nil"/>
            </w:tcBorders>
          </w:tcPr>
          <w:p w:rsidR="00ED0812" w:rsidRPr="008A57B9" w:rsidRDefault="00ED0812" w:rsidP="00E454D3">
            <w:pPr>
              <w:rPr>
                <w:sz w:val="24"/>
                <w:lang w:val="en-AU"/>
              </w:rPr>
            </w:pPr>
          </w:p>
        </w:tc>
        <w:tc>
          <w:tcPr>
            <w:tcW w:w="6281" w:type="dxa"/>
            <w:tcBorders>
              <w:top w:val="nil"/>
            </w:tcBorders>
          </w:tcPr>
          <w:p w:rsidR="00ED0812" w:rsidRPr="008A57B9" w:rsidRDefault="00ED0812" w:rsidP="00ED0812">
            <w:pPr>
              <w:pStyle w:val="Default"/>
              <w:rPr>
                <w:rFonts w:asciiTheme="minorHAnsi" w:hAnsiTheme="minorHAnsi"/>
                <w:i/>
                <w:sz w:val="24"/>
              </w:rPr>
            </w:pPr>
            <w:r w:rsidRPr="008A57B9">
              <w:rPr>
                <w:rFonts w:asciiTheme="minorHAnsi" w:hAnsiTheme="minorHAnsi"/>
                <w:b/>
              </w:rPr>
              <w:t xml:space="preserve">Increase capacity of local communities to pursue sustainable livelihood opportunities and eradicate poverty </w:t>
            </w:r>
            <w:r w:rsidRPr="008A57B9">
              <w:rPr>
                <w:rFonts w:asciiTheme="minorHAnsi" w:hAnsiTheme="minorHAnsi"/>
              </w:rPr>
              <w:t>by (inter alia) promoting innovative partnerships for conserving wildlife through shared management responsibilities such as community conservancies, public‐private partnerships, sustainable tourism, revenue‐sharing agreements and other income sources such as sustainable agriculture</w:t>
            </w:r>
          </w:p>
          <w:p w:rsidR="00ED0812" w:rsidRPr="008A57B9" w:rsidRDefault="00ED0812" w:rsidP="00ED0812">
            <w:pPr>
              <w:pStyle w:val="Default"/>
              <w:rPr>
                <w:rFonts w:asciiTheme="minorHAnsi" w:hAnsiTheme="minorHAnsi"/>
                <w:sz w:val="24"/>
              </w:rPr>
            </w:pPr>
          </w:p>
        </w:tc>
      </w:tr>
      <w:tr w:rsidR="00ED0812" w:rsidTr="00173728">
        <w:tc>
          <w:tcPr>
            <w:tcW w:w="2235" w:type="dxa"/>
          </w:tcPr>
          <w:p w:rsidR="00ED0812" w:rsidRPr="008A57B9" w:rsidRDefault="00ED0812" w:rsidP="00E454D3">
            <w:pPr>
              <w:rPr>
                <w:sz w:val="24"/>
                <w:lang w:val="en-AU"/>
              </w:rPr>
            </w:pPr>
            <w:r w:rsidRPr="008A57B9">
              <w:rPr>
                <w:rFonts w:eastAsiaTheme="minorEastAsia"/>
                <w:sz w:val="24"/>
                <w:szCs w:val="24"/>
              </w:rPr>
              <w:t>African Elephant Summit</w:t>
            </w:r>
          </w:p>
        </w:tc>
        <w:tc>
          <w:tcPr>
            <w:tcW w:w="6281" w:type="dxa"/>
          </w:tcPr>
          <w:p w:rsidR="00ED0812" w:rsidRPr="008A57B9" w:rsidRDefault="00FD1349" w:rsidP="00E454D3">
            <w:pPr>
              <w:rPr>
                <w:sz w:val="24"/>
                <w:lang w:val="en-AU"/>
              </w:rPr>
            </w:pPr>
            <w:r>
              <w:rPr>
                <w:rFonts w:cs="Times New Roman"/>
                <w:b/>
                <w:bCs/>
                <w:sz w:val="24"/>
                <w:szCs w:val="24"/>
              </w:rPr>
              <w:t>E</w:t>
            </w:r>
            <w:r w:rsidRPr="00784127">
              <w:rPr>
                <w:rFonts w:cs="Times New Roman"/>
                <w:b/>
                <w:bCs/>
              </w:rPr>
              <w:t>ngage</w:t>
            </w:r>
            <w:r w:rsidR="00ED0812" w:rsidRPr="008A57B9">
              <w:rPr>
                <w:b/>
              </w:rPr>
              <w:t xml:space="preserve"> communities living with elephants as active partners in their conservation </w:t>
            </w:r>
            <w:r w:rsidR="00ED0812" w:rsidRPr="008A57B9">
              <w:t xml:space="preserve">by supporting community efforts to advance their rights and capacity to manage and </w:t>
            </w:r>
            <w:r w:rsidR="00ED0812" w:rsidRPr="008A57B9">
              <w:lastRenderedPageBreak/>
              <w:t>benefit from wildlife and wilderness</w:t>
            </w:r>
          </w:p>
        </w:tc>
      </w:tr>
      <w:tr w:rsidR="00ED0812" w:rsidTr="00173728">
        <w:tc>
          <w:tcPr>
            <w:tcW w:w="2235" w:type="dxa"/>
          </w:tcPr>
          <w:p w:rsidR="00ED0812" w:rsidRPr="008A57B9" w:rsidRDefault="00ED0812" w:rsidP="00ED0812">
            <w:pPr>
              <w:rPr>
                <w:sz w:val="24"/>
                <w:lang w:val="en-AU"/>
              </w:rPr>
            </w:pPr>
            <w:proofErr w:type="spellStart"/>
            <w:r w:rsidRPr="008A57B9">
              <w:rPr>
                <w:rFonts w:eastAsiaTheme="minorEastAsia"/>
                <w:sz w:val="24"/>
                <w:szCs w:val="24"/>
              </w:rPr>
              <w:lastRenderedPageBreak/>
              <w:t>Kasane</w:t>
            </w:r>
            <w:proofErr w:type="spellEnd"/>
            <w:r w:rsidRPr="008A57B9">
              <w:rPr>
                <w:rFonts w:eastAsiaTheme="minorEastAsia"/>
                <w:sz w:val="24"/>
                <w:szCs w:val="24"/>
              </w:rPr>
              <w:t xml:space="preserve"> Declaration</w:t>
            </w:r>
          </w:p>
        </w:tc>
        <w:tc>
          <w:tcPr>
            <w:tcW w:w="6281" w:type="dxa"/>
          </w:tcPr>
          <w:p w:rsidR="00ED0812" w:rsidRPr="008A57B9" w:rsidRDefault="00ED0812" w:rsidP="00ED0812">
            <w:pPr>
              <w:rPr>
                <w:sz w:val="24"/>
                <w:lang w:val="en-AU"/>
              </w:rPr>
            </w:pPr>
            <w:r w:rsidRPr="008A57B9">
              <w:rPr>
                <w:rFonts w:eastAsiaTheme="minorEastAsia"/>
                <w:b/>
                <w:sz w:val="24"/>
                <w:szCs w:val="24"/>
              </w:rPr>
              <w:t>Promote the retention of benefits from wildlife resources by local people where they have traditional and/or legal rights over these resources.</w:t>
            </w:r>
            <w:r w:rsidRPr="008A57B9">
              <w:rPr>
                <w:rFonts w:eastAsiaTheme="minorEastAsia"/>
                <w:sz w:val="24"/>
                <w:szCs w:val="24"/>
              </w:rPr>
              <w:t xml:space="preserve"> We will strengthen policy and legislative frameworks needed to achieve this, reinforce the voice of local people as key stakeholders and implement measures which balance the need to tackle the illegal wildlife trade with the needs of communities, including the sustainable use of wildlife. </w:t>
            </w:r>
          </w:p>
          <w:p w:rsidR="00ED0812" w:rsidRPr="008A57B9" w:rsidRDefault="00ED0812" w:rsidP="00ED0812">
            <w:pPr>
              <w:rPr>
                <w:sz w:val="24"/>
                <w:lang w:val="en-AU"/>
              </w:rPr>
            </w:pPr>
          </w:p>
          <w:p w:rsidR="00ED0812" w:rsidRPr="008A57B9" w:rsidRDefault="00ED0812" w:rsidP="00ED0812">
            <w:pPr>
              <w:rPr>
                <w:sz w:val="24"/>
                <w:lang w:val="en-AU"/>
              </w:rPr>
            </w:pPr>
            <w:r w:rsidRPr="008A57B9">
              <w:rPr>
                <w:rFonts w:eastAsiaTheme="minorEastAsia"/>
                <w:sz w:val="24"/>
                <w:szCs w:val="24"/>
              </w:rPr>
              <w:t xml:space="preserve">Support work done in countries to </w:t>
            </w:r>
            <w:r w:rsidRPr="008A57B9">
              <w:rPr>
                <w:rFonts w:eastAsiaTheme="minorEastAsia"/>
                <w:b/>
                <w:sz w:val="24"/>
                <w:szCs w:val="24"/>
              </w:rPr>
              <w:t>address the challenges that people, in particular rural populations, can face in living and coexisting with wildlife,</w:t>
            </w:r>
            <w:r w:rsidRPr="008A57B9">
              <w:rPr>
                <w:rFonts w:eastAsiaTheme="minorEastAsia"/>
                <w:sz w:val="24"/>
                <w:szCs w:val="24"/>
              </w:rPr>
              <w:t xml:space="preserve"> with the goal of building conservation constituencies and promoting sustainable development.</w:t>
            </w:r>
          </w:p>
          <w:p w:rsidR="00ED0812" w:rsidRPr="008A57B9" w:rsidRDefault="00ED0812" w:rsidP="00ED0812">
            <w:pPr>
              <w:rPr>
                <w:sz w:val="24"/>
                <w:lang w:val="en-AU"/>
              </w:rPr>
            </w:pPr>
          </w:p>
          <w:p w:rsidR="00ED0812" w:rsidRPr="008A57B9" w:rsidRDefault="00ED0812" w:rsidP="00ED0812">
            <w:pPr>
              <w:rPr>
                <w:sz w:val="24"/>
                <w:lang w:val="en-AU"/>
              </w:rPr>
            </w:pPr>
            <w:r w:rsidRPr="008A57B9">
              <w:rPr>
                <w:rFonts w:eastAsiaTheme="minorEastAsia"/>
                <w:sz w:val="24"/>
                <w:szCs w:val="24"/>
              </w:rPr>
              <w:t xml:space="preserve">Establish, facilitate and support information-sharing mechanisms, within country, regionally, and internationally, designed with, for and targeted at local people and practitioners, to </w:t>
            </w:r>
            <w:r w:rsidRPr="008A57B9">
              <w:rPr>
                <w:rFonts w:eastAsiaTheme="minorEastAsia"/>
                <w:b/>
                <w:sz w:val="24"/>
                <w:szCs w:val="24"/>
              </w:rPr>
              <w:t>develop knowledge, expertise and best practice in practical experience of involving local people in managing wildlife resources,</w:t>
            </w:r>
            <w:r w:rsidRPr="008A57B9">
              <w:rPr>
                <w:rFonts w:eastAsiaTheme="minorEastAsia"/>
                <w:sz w:val="24"/>
                <w:szCs w:val="24"/>
              </w:rPr>
              <w:t xml:space="preserve"> and in action to tackle the illegal wildlife trade. </w:t>
            </w:r>
          </w:p>
          <w:p w:rsidR="00ED0812" w:rsidRPr="008A57B9" w:rsidRDefault="00ED0812" w:rsidP="00ED0812">
            <w:pPr>
              <w:rPr>
                <w:sz w:val="24"/>
                <w:lang w:val="en-AU"/>
              </w:rPr>
            </w:pPr>
          </w:p>
          <w:p w:rsidR="002E6148" w:rsidRPr="00F12010" w:rsidRDefault="00ED0812" w:rsidP="00ED0812">
            <w:pPr>
              <w:rPr>
                <w:rFonts w:eastAsia="Times New Roman" w:cs="Times New Roman"/>
                <w:sz w:val="24"/>
                <w:szCs w:val="24"/>
                <w:lang w:val="en-AU"/>
              </w:rPr>
            </w:pPr>
            <w:r w:rsidRPr="008A57B9">
              <w:rPr>
                <w:rFonts w:eastAsiaTheme="minorEastAsia"/>
                <w:sz w:val="24"/>
                <w:szCs w:val="24"/>
              </w:rPr>
              <w:t xml:space="preserve">Support work by countries and intergovernmental organisations, as well as nongovernmental organisations, that seeks to </w:t>
            </w:r>
            <w:r w:rsidRPr="008A57B9">
              <w:rPr>
                <w:rFonts w:eastAsiaTheme="minorEastAsia"/>
                <w:b/>
                <w:sz w:val="24"/>
                <w:szCs w:val="24"/>
              </w:rPr>
              <w:t>identify the situations where, and the mechanisms by which, actions at the local level, including with community groups, can reduce the illegal wildlife trade</w:t>
            </w:r>
            <w:r w:rsidRPr="008A57B9">
              <w:rPr>
                <w:rFonts w:eastAsiaTheme="minorEastAsia"/>
                <w:sz w:val="24"/>
                <w:szCs w:val="24"/>
              </w:rPr>
              <w:t>.</w:t>
            </w:r>
          </w:p>
          <w:p w:rsidR="00ED0812" w:rsidRPr="00F12010" w:rsidRDefault="00ED0812" w:rsidP="00ED0812">
            <w:pPr>
              <w:rPr>
                <w:b/>
                <w:sz w:val="24"/>
                <w:lang w:val="en-AU"/>
              </w:rPr>
            </w:pPr>
          </w:p>
        </w:tc>
      </w:tr>
      <w:tr w:rsidR="00ED0812" w:rsidTr="00173728">
        <w:tc>
          <w:tcPr>
            <w:tcW w:w="2235" w:type="dxa"/>
          </w:tcPr>
          <w:p w:rsidR="00ED0812" w:rsidRPr="008A57B9" w:rsidRDefault="00ED0812" w:rsidP="00E454D3">
            <w:pPr>
              <w:rPr>
                <w:sz w:val="24"/>
                <w:lang w:val="en-AU"/>
              </w:rPr>
            </w:pPr>
            <w:r w:rsidRPr="008A57B9">
              <w:rPr>
                <w:rFonts w:eastAsiaTheme="minorEastAsia"/>
                <w:sz w:val="24"/>
                <w:szCs w:val="24"/>
              </w:rPr>
              <w:t>Brazzaville Declaration</w:t>
            </w:r>
          </w:p>
        </w:tc>
        <w:tc>
          <w:tcPr>
            <w:tcW w:w="6281" w:type="dxa"/>
          </w:tcPr>
          <w:p w:rsidR="00ED0812" w:rsidRPr="008A57B9" w:rsidRDefault="00ED0812" w:rsidP="00ED0812">
            <w:pPr>
              <w:rPr>
                <w:sz w:val="24"/>
                <w:lang w:val="en-AU"/>
              </w:rPr>
            </w:pPr>
            <w:r w:rsidRPr="008A57B9">
              <w:rPr>
                <w:rFonts w:eastAsiaTheme="minorEastAsia"/>
                <w:sz w:val="24"/>
                <w:szCs w:val="24"/>
              </w:rPr>
              <w:t xml:space="preserve">Encourage Member States to </w:t>
            </w:r>
            <w:r w:rsidRPr="008A57B9">
              <w:rPr>
                <w:rFonts w:eastAsiaTheme="minorEastAsia"/>
                <w:b/>
                <w:sz w:val="24"/>
                <w:szCs w:val="24"/>
              </w:rPr>
              <w:t>recognize the rights and increasing the participation of indigenous populations and local communities in planning, management, and use of wildlife resources, promoting sustainable and alternative livelihoods, and in building their capacities to fight against wildlife crime</w:t>
            </w:r>
          </w:p>
          <w:p w:rsidR="00ED0812" w:rsidRPr="008A57B9" w:rsidRDefault="00ED0812" w:rsidP="00ED0812">
            <w:pPr>
              <w:rPr>
                <w:sz w:val="24"/>
                <w:lang w:val="en-AU"/>
              </w:rPr>
            </w:pPr>
          </w:p>
        </w:tc>
      </w:tr>
    </w:tbl>
    <w:p w:rsidR="00ED0812" w:rsidRPr="008A57B9" w:rsidRDefault="00ED0812" w:rsidP="00E454D3"/>
    <w:p w:rsidR="00E454D3" w:rsidRPr="008A57B9" w:rsidRDefault="00E454D3" w:rsidP="00E454D3"/>
    <w:p w:rsidR="00E62562" w:rsidRDefault="00E454D3" w:rsidP="00E454D3">
      <w:pPr>
        <w:tabs>
          <w:tab w:val="left" w:pos="1571"/>
        </w:tabs>
        <w:spacing w:after="160" w:line="259" w:lineRule="auto"/>
        <w:rPr>
          <w:color w:val="000000"/>
        </w:rPr>
      </w:pPr>
      <w:r w:rsidRPr="008A57B9">
        <w:rPr>
          <w:color w:val="000000"/>
        </w:rPr>
        <w:t xml:space="preserve">However, despite this recognition, the emphasis to date </w:t>
      </w:r>
      <w:r w:rsidR="00ED0812" w:rsidRPr="008A57B9">
        <w:rPr>
          <w:color w:val="000000"/>
        </w:rPr>
        <w:t xml:space="preserve">in discussions and in implementation </w:t>
      </w:r>
      <w:r w:rsidRPr="008A57B9">
        <w:rPr>
          <w:color w:val="000000"/>
        </w:rPr>
        <w:t xml:space="preserve">has been strongly on strengthening (government-led) law enforcement and reducing consumer demand for illicitly sourced wildlife commodities. Considerably less emphasis has been placed on the role of the </w:t>
      </w:r>
      <w:r w:rsidR="00E62562" w:rsidRPr="003F5408">
        <w:lastRenderedPageBreak/>
        <w:t>Indigenous Peoples and</w:t>
      </w:r>
      <w:r w:rsidR="00E62562">
        <w:rPr>
          <w:b/>
        </w:rPr>
        <w:t xml:space="preserve"> </w:t>
      </w:r>
      <w:r w:rsidRPr="008A57B9">
        <w:rPr>
          <w:color w:val="000000"/>
        </w:rPr>
        <w:t xml:space="preserve">local communities who live with wildlife. </w:t>
      </w:r>
      <w:r w:rsidR="00E62562">
        <w:rPr>
          <w:color w:val="000000"/>
        </w:rPr>
        <w:t xml:space="preserve">Moreover, some recent commitments, such as the one stemming from the Forum on China-Africa Cooperation (FOCAC) </w:t>
      </w:r>
      <w:r w:rsidR="00E62562" w:rsidRPr="00C316CB">
        <w:rPr>
          <w:color w:val="000000"/>
        </w:rPr>
        <w:t>Johannesburg Action Plan (2016-2018)</w:t>
      </w:r>
      <w:r w:rsidR="00E62562">
        <w:rPr>
          <w:color w:val="000000"/>
        </w:rPr>
        <w:t xml:space="preserve"> do mention the need to combat IWT, but do not recognize the strong role of </w:t>
      </w:r>
      <w:r w:rsidR="00E62562" w:rsidRPr="00C316CB">
        <w:rPr>
          <w:color w:val="000000"/>
        </w:rPr>
        <w:t xml:space="preserve">Indigenous </w:t>
      </w:r>
      <w:r w:rsidR="00E62562">
        <w:rPr>
          <w:color w:val="000000"/>
        </w:rPr>
        <w:t>Peoples</w:t>
      </w:r>
      <w:r w:rsidR="00E62562" w:rsidRPr="00C316CB">
        <w:rPr>
          <w:color w:val="000000"/>
        </w:rPr>
        <w:t xml:space="preserve"> and local communities</w:t>
      </w:r>
      <w:r w:rsidR="00E62562">
        <w:rPr>
          <w:color w:val="000000"/>
        </w:rPr>
        <w:t>.</w:t>
      </w:r>
      <w:r w:rsidR="00E62562" w:rsidRPr="006405D4">
        <w:rPr>
          <w:color w:val="000000"/>
        </w:rPr>
        <w:t xml:space="preserve"> </w:t>
      </w:r>
      <w:r w:rsidR="00E62562">
        <w:rPr>
          <w:color w:val="000000"/>
        </w:rPr>
        <w:t xml:space="preserve"> </w:t>
      </w:r>
    </w:p>
    <w:p w:rsidR="00E454D3" w:rsidRPr="008A57B9" w:rsidRDefault="00E454D3" w:rsidP="00E454D3">
      <w:pPr>
        <w:tabs>
          <w:tab w:val="left" w:pos="1571"/>
        </w:tabs>
        <w:spacing w:after="160" w:line="259" w:lineRule="auto"/>
        <w:rPr>
          <w:color w:val="000000"/>
        </w:rPr>
      </w:pPr>
      <w:r w:rsidRPr="008A57B9">
        <w:rPr>
          <w:color w:val="000000"/>
        </w:rPr>
        <w:t xml:space="preserve">IWT has an enormous impact on </w:t>
      </w:r>
      <w:r w:rsidR="00173728">
        <w:rPr>
          <w:color w:val="000000"/>
        </w:rPr>
        <w:t>i</w:t>
      </w:r>
      <w:r w:rsidR="00E62562" w:rsidRPr="00C316CB">
        <w:rPr>
          <w:color w:val="000000"/>
        </w:rPr>
        <w:t xml:space="preserve">ndigenous </w:t>
      </w:r>
      <w:r w:rsidR="00173728">
        <w:rPr>
          <w:color w:val="000000"/>
        </w:rPr>
        <w:t>p</w:t>
      </w:r>
      <w:r w:rsidR="00E62562">
        <w:rPr>
          <w:color w:val="000000"/>
        </w:rPr>
        <w:t>eoples</w:t>
      </w:r>
      <w:r w:rsidR="00E62562" w:rsidRPr="00C316CB">
        <w:rPr>
          <w:color w:val="000000"/>
        </w:rPr>
        <w:t xml:space="preserve"> and </w:t>
      </w:r>
      <w:r w:rsidRPr="008A57B9">
        <w:rPr>
          <w:color w:val="000000"/>
        </w:rPr>
        <w:t xml:space="preserve">local communities, who are affected by insecurity and the depletion of important livelihood and economic assets, while often being excluded from the benefits of conservation. They can also be very negatively affected by heavy-handed, </w:t>
      </w:r>
      <w:r w:rsidR="00CE5890" w:rsidRPr="00EF2301">
        <w:rPr>
          <w:rFonts w:ascii="Calibri" w:eastAsia="Calibri" w:hAnsi="Calibri" w:cs="Calibri"/>
          <w:color w:val="000000"/>
          <w:sz w:val="22"/>
          <w:szCs w:val="22"/>
        </w:rPr>
        <w:t>militarized</w:t>
      </w:r>
      <w:r w:rsidRPr="008A57B9">
        <w:rPr>
          <w:color w:val="000000"/>
        </w:rPr>
        <w:t xml:space="preserve"> responses to wildlife crime, that frequently make little distinction between the illegal activities driven by large scale profits (crimes of greed) versus those driven by poverty (crimes of need). Most fundamentally, however, the </w:t>
      </w:r>
      <w:r w:rsidRPr="00EF2301">
        <w:rPr>
          <w:rFonts w:ascii="Calibri" w:eastAsia="Calibri" w:hAnsi="Calibri" w:cs="Calibri"/>
          <w:color w:val="000000"/>
          <w:sz w:val="22"/>
          <w:szCs w:val="22"/>
        </w:rPr>
        <w:t>long</w:t>
      </w:r>
      <w:r w:rsidR="00CE5890">
        <w:rPr>
          <w:rFonts w:ascii="Calibri" w:eastAsia="Calibri" w:hAnsi="Calibri" w:cs="Calibri"/>
          <w:color w:val="000000"/>
          <w:sz w:val="22"/>
          <w:szCs w:val="22"/>
        </w:rPr>
        <w:t xml:space="preserve"> </w:t>
      </w:r>
      <w:r w:rsidRPr="00EF2301">
        <w:rPr>
          <w:rFonts w:ascii="Calibri" w:eastAsia="Calibri" w:hAnsi="Calibri" w:cs="Calibri"/>
          <w:color w:val="000000"/>
          <w:sz w:val="22"/>
          <w:szCs w:val="22"/>
        </w:rPr>
        <w:t>term</w:t>
      </w:r>
      <w:r w:rsidRPr="008A57B9">
        <w:rPr>
          <w:color w:val="000000"/>
        </w:rPr>
        <w:t xml:space="preserve"> survival of wildlife populations, and in particular the success of interventions to combat IWT, will depend to a large extent on engagement of the </w:t>
      </w:r>
      <w:r w:rsidR="00E62562" w:rsidRPr="00C316CB">
        <w:rPr>
          <w:color w:val="000000"/>
        </w:rPr>
        <w:t xml:space="preserve">Indigenous </w:t>
      </w:r>
      <w:r w:rsidR="00E62562">
        <w:rPr>
          <w:color w:val="000000"/>
        </w:rPr>
        <w:t>Peoples</w:t>
      </w:r>
      <w:r w:rsidR="00E62562" w:rsidRPr="00C316CB">
        <w:rPr>
          <w:color w:val="000000"/>
        </w:rPr>
        <w:t xml:space="preserve"> and local</w:t>
      </w:r>
      <w:r w:rsidR="00E62562" w:rsidRPr="008A57B9">
        <w:rPr>
          <w:color w:val="000000"/>
        </w:rPr>
        <w:t xml:space="preserve"> </w:t>
      </w:r>
      <w:r w:rsidRPr="008A57B9">
        <w:rPr>
          <w:color w:val="000000"/>
        </w:rPr>
        <w:t xml:space="preserve">communities who live with wildlife populations. Where the economic and social value of wildlife populations for local people is positive, they will be more motivated to support and engage in efforts to combat and manage poaching and illicit trade. But where local people do not play a role in wildlife management and where it generates no benefits, strong incentives for illegal use </w:t>
      </w:r>
      <w:r w:rsidR="00E62562">
        <w:rPr>
          <w:color w:val="000000"/>
        </w:rPr>
        <w:t xml:space="preserve">and trade </w:t>
      </w:r>
      <w:r w:rsidRPr="008A57B9">
        <w:rPr>
          <w:color w:val="000000"/>
        </w:rPr>
        <w:t xml:space="preserve">are likely to exist. Even the most focused and well-resourced enforcement efforts (which few countries can afford or have the political will to implement) will struggle to effectively control wildlife crime in the face of strong incentives for complicity by local people. </w:t>
      </w:r>
    </w:p>
    <w:p w:rsidR="00ED0812" w:rsidRPr="008A57B9" w:rsidRDefault="00E454D3" w:rsidP="00E454D3">
      <w:pPr>
        <w:tabs>
          <w:tab w:val="left" w:pos="1571"/>
        </w:tabs>
        <w:spacing w:after="160" w:line="259" w:lineRule="auto"/>
        <w:rPr>
          <w:color w:val="000000"/>
        </w:rPr>
      </w:pPr>
      <w:r w:rsidRPr="008A57B9">
        <w:rPr>
          <w:color w:val="000000"/>
        </w:rPr>
        <w:t xml:space="preserve">There are examples from </w:t>
      </w:r>
      <w:r w:rsidR="00F12010">
        <w:rPr>
          <w:rFonts w:eastAsia="Calibri" w:cs="Calibri"/>
          <w:color w:val="000000"/>
        </w:rPr>
        <w:t xml:space="preserve">West and Central </w:t>
      </w:r>
      <w:r w:rsidRPr="008A57B9">
        <w:rPr>
          <w:color w:val="000000"/>
        </w:rPr>
        <w:t xml:space="preserve">Africa of governance models that empower </w:t>
      </w:r>
      <w:r w:rsidR="00173728">
        <w:rPr>
          <w:color w:val="000000"/>
        </w:rPr>
        <w:t>i</w:t>
      </w:r>
      <w:r w:rsidR="00E62562" w:rsidRPr="00C316CB">
        <w:rPr>
          <w:color w:val="000000"/>
        </w:rPr>
        <w:t xml:space="preserve">ndigenous </w:t>
      </w:r>
      <w:r w:rsidR="00173728">
        <w:rPr>
          <w:color w:val="000000"/>
        </w:rPr>
        <w:t>p</w:t>
      </w:r>
      <w:r w:rsidR="00E62562">
        <w:rPr>
          <w:color w:val="000000"/>
        </w:rPr>
        <w:t>eoples</w:t>
      </w:r>
      <w:r w:rsidR="00E62562" w:rsidRPr="00C316CB">
        <w:rPr>
          <w:color w:val="000000"/>
        </w:rPr>
        <w:t xml:space="preserve"> and </w:t>
      </w:r>
      <w:r w:rsidRPr="008A57B9">
        <w:rPr>
          <w:color w:val="000000"/>
        </w:rPr>
        <w:t xml:space="preserve">local communities to manage wildlife sustainably and generate social and economic benefits. In a number of cases, these approaches have been successful in reducing illegal wildlife use </w:t>
      </w:r>
      <w:r w:rsidR="00E62562">
        <w:rPr>
          <w:color w:val="000000"/>
        </w:rPr>
        <w:t>and trade</w:t>
      </w:r>
      <w:r w:rsidRPr="008A57B9">
        <w:rPr>
          <w:color w:val="000000"/>
        </w:rPr>
        <w:t>- sometimes dramatically - and incentivising strong community engagement in enforcement efforts. However, there is a clear need to raise awareness of these examples, distil lessons learnt, and ensure this experience influences the ongoing international IWT policy debate</w:t>
      </w:r>
      <w:r w:rsidR="00386935" w:rsidRPr="008A57B9">
        <w:rPr>
          <w:color w:val="000000"/>
        </w:rPr>
        <w:t xml:space="preserve"> and implementation of approaches</w:t>
      </w:r>
      <w:r w:rsidRPr="008A57B9">
        <w:rPr>
          <w:color w:val="000000"/>
        </w:rPr>
        <w:t xml:space="preserve">. </w:t>
      </w:r>
    </w:p>
    <w:p w:rsidR="0077119C" w:rsidRPr="00173728" w:rsidRDefault="00E454D3" w:rsidP="00173728">
      <w:pPr>
        <w:tabs>
          <w:tab w:val="left" w:pos="1571"/>
        </w:tabs>
        <w:spacing w:after="160" w:line="259" w:lineRule="auto"/>
        <w:rPr>
          <w:color w:val="000000"/>
        </w:rPr>
      </w:pPr>
      <w:r w:rsidRPr="008A57B9">
        <w:rPr>
          <w:color w:val="000000"/>
        </w:rPr>
        <w:t xml:space="preserve">Crucially, the potential of community-based approaches needs to be analysed in the context of contemporary challenges of </w:t>
      </w:r>
      <w:r w:rsidR="00E62562">
        <w:rPr>
          <w:color w:val="000000"/>
        </w:rPr>
        <w:t xml:space="preserve">increasing involvement of transnationally-organized criminal syndicates in IWT, </w:t>
      </w:r>
      <w:r w:rsidRPr="008A57B9">
        <w:rPr>
          <w:color w:val="000000"/>
        </w:rPr>
        <w:t>rising profits from illicit trade, increased access to firearms by community members, worsening poverty in many areas, erosion of traditional</w:t>
      </w:r>
      <w:r w:rsidR="00E62562">
        <w:rPr>
          <w:color w:val="000000"/>
        </w:rPr>
        <w:t xml:space="preserve"> rights and </w:t>
      </w:r>
      <w:r w:rsidRPr="008A57B9">
        <w:rPr>
          <w:color w:val="000000"/>
        </w:rPr>
        <w:t>governance systems, rapid urbanisation and changing community value systems, and large-scale threats from climate change combined with progressive habitat erosion affecting subsistence agriculture.</w:t>
      </w:r>
    </w:p>
    <w:sectPr w:rsidR="0077119C" w:rsidRPr="00173728" w:rsidSect="00BF3F2A">
      <w:headerReference w:type="default"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6DB" w:rsidRDefault="007C56DB" w:rsidP="00E454D3">
      <w:r>
        <w:separator/>
      </w:r>
    </w:p>
  </w:endnote>
  <w:endnote w:type="continuationSeparator" w:id="0">
    <w:p w:rsidR="007C56DB" w:rsidRDefault="007C56DB" w:rsidP="00E454D3">
      <w:r>
        <w:continuationSeparator/>
      </w:r>
    </w:p>
  </w:endnote>
  <w:endnote w:type="continuationNotice" w:id="1">
    <w:p w:rsidR="007C56DB" w:rsidRDefault="007C56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BC6" w:rsidRDefault="009C6BC6">
    <w:pPr>
      <w:pStyle w:val="Pieddepage"/>
      <w:rPr>
        <w:b/>
        <w:noProof/>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258"/>
    </w:tblGrid>
    <w:tr w:rsidR="009C6BC6" w:rsidTr="00030474">
      <w:tc>
        <w:tcPr>
          <w:tcW w:w="4258" w:type="dxa"/>
          <w:vAlign w:val="center"/>
        </w:tcPr>
        <w:p w:rsidR="009C6BC6" w:rsidRDefault="009C6BC6" w:rsidP="00030474">
          <w:pPr>
            <w:pStyle w:val="Pieddepage"/>
            <w:tabs>
              <w:tab w:val="left" w:pos="556"/>
              <w:tab w:val="center" w:pos="2021"/>
            </w:tabs>
            <w:jc w:val="center"/>
          </w:pPr>
          <w:r>
            <w:rPr>
              <w:noProof/>
              <w:lang w:val="fr-FR" w:eastAsia="fr-FR"/>
            </w:rPr>
            <w:drawing>
              <wp:inline distT="0" distB="0" distL="0" distR="0">
                <wp:extent cx="1733783" cy="5701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png"/>
                        <pic:cNvPicPr/>
                      </pic:nvPicPr>
                      <pic:blipFill>
                        <a:blip r:embed="rId1">
                          <a:extLst>
                            <a:ext uri="{28A0092B-C50C-407E-A947-70E740481C1C}">
                              <a14:useLocalDpi xmlns:a14="http://schemas.microsoft.com/office/drawing/2010/main" val="0"/>
                            </a:ext>
                          </a:extLst>
                        </a:blip>
                        <a:stretch>
                          <a:fillRect/>
                        </a:stretch>
                      </pic:blipFill>
                      <pic:spPr>
                        <a:xfrm>
                          <a:off x="0" y="0"/>
                          <a:ext cx="1735259" cy="570655"/>
                        </a:xfrm>
                        <a:prstGeom prst="rect">
                          <a:avLst/>
                        </a:prstGeom>
                      </pic:spPr>
                    </pic:pic>
                  </a:graphicData>
                </a:graphic>
              </wp:inline>
            </w:drawing>
          </w:r>
        </w:p>
      </w:tc>
      <w:tc>
        <w:tcPr>
          <w:tcW w:w="4258" w:type="dxa"/>
          <w:vAlign w:val="center"/>
        </w:tcPr>
        <w:p w:rsidR="009C6BC6" w:rsidRDefault="009C6BC6" w:rsidP="00030474">
          <w:pPr>
            <w:pStyle w:val="Pieddepage"/>
            <w:tabs>
              <w:tab w:val="clear" w:pos="4320"/>
              <w:tab w:val="clear" w:pos="8640"/>
              <w:tab w:val="right" w:pos="4042"/>
            </w:tabs>
            <w:jc w:val="center"/>
          </w:pPr>
          <w:r>
            <w:rPr>
              <w:noProof/>
              <w:lang w:val="fr-FR" w:eastAsia="fr-FR"/>
            </w:rPr>
            <w:drawing>
              <wp:inline distT="0" distB="0" distL="0" distR="0">
                <wp:extent cx="919480" cy="4000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riaEnvt.jpeg"/>
                        <pic:cNvPicPr/>
                      </pic:nvPicPr>
                      <pic:blipFill>
                        <a:blip r:embed="rId2">
                          <a:extLst>
                            <a:ext uri="{28A0092B-C50C-407E-A947-70E740481C1C}">
                              <a14:useLocalDpi xmlns:a14="http://schemas.microsoft.com/office/drawing/2010/main" val="0"/>
                            </a:ext>
                          </a:extLst>
                        </a:blip>
                        <a:stretch>
                          <a:fillRect/>
                        </a:stretch>
                      </pic:blipFill>
                      <pic:spPr>
                        <a:xfrm>
                          <a:off x="0" y="0"/>
                          <a:ext cx="919480" cy="400050"/>
                        </a:xfrm>
                        <a:prstGeom prst="rect">
                          <a:avLst/>
                        </a:prstGeom>
                      </pic:spPr>
                    </pic:pic>
                  </a:graphicData>
                </a:graphic>
              </wp:inline>
            </w:drawing>
          </w:r>
        </w:p>
      </w:tc>
    </w:tr>
  </w:tbl>
  <w:p w:rsidR="009C6BC6" w:rsidRDefault="009C6BC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6DB" w:rsidRDefault="007C56DB" w:rsidP="00E454D3">
      <w:r>
        <w:separator/>
      </w:r>
    </w:p>
  </w:footnote>
  <w:footnote w:type="continuationSeparator" w:id="0">
    <w:p w:rsidR="007C56DB" w:rsidRDefault="007C56DB" w:rsidP="00E454D3">
      <w:r>
        <w:continuationSeparator/>
      </w:r>
    </w:p>
  </w:footnote>
  <w:footnote w:type="continuationNotice" w:id="1">
    <w:p w:rsidR="007C56DB" w:rsidRDefault="007C56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2126"/>
      <w:gridCol w:w="1984"/>
      <w:gridCol w:w="1985"/>
      <w:gridCol w:w="1417"/>
    </w:tblGrid>
    <w:tr w:rsidR="009C6BC6" w:rsidTr="003F5408">
      <w:tc>
        <w:tcPr>
          <w:tcW w:w="1101" w:type="dxa"/>
          <w:vAlign w:val="center"/>
        </w:tcPr>
        <w:p w:rsidR="009C6BC6" w:rsidRDefault="009C6BC6" w:rsidP="00030474">
          <w:pPr>
            <w:pStyle w:val="En-tte"/>
            <w:jc w:val="center"/>
          </w:pPr>
          <w:r w:rsidRPr="003B7BB5">
            <w:rPr>
              <w:noProof/>
              <w:lang w:val="fr-FR" w:eastAsia="fr-FR"/>
            </w:rPr>
            <w:drawing>
              <wp:inline distT="0" distB="0" distL="0" distR="0">
                <wp:extent cx="571500" cy="549234"/>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UCN.eps"/>
                        <pic:cNvPicPr/>
                      </pic:nvPicPr>
                      <pic:blipFill>
                        <a:blip r:embed="rId1">
                          <a:extLst>
                            <a:ext uri="{28A0092B-C50C-407E-A947-70E740481C1C}">
                              <a14:useLocalDpi xmlns:a14="http://schemas.microsoft.com/office/drawing/2010/main" val="0"/>
                            </a:ext>
                          </a:extLst>
                        </a:blip>
                        <a:stretch>
                          <a:fillRect/>
                        </a:stretch>
                      </pic:blipFill>
                      <pic:spPr>
                        <a:xfrm>
                          <a:off x="0" y="0"/>
                          <a:ext cx="571699" cy="549425"/>
                        </a:xfrm>
                        <a:prstGeom prst="rect">
                          <a:avLst/>
                        </a:prstGeom>
                      </pic:spPr>
                    </pic:pic>
                  </a:graphicData>
                </a:graphic>
              </wp:inline>
            </w:drawing>
          </w:r>
        </w:p>
      </w:tc>
      <w:tc>
        <w:tcPr>
          <w:tcW w:w="2126" w:type="dxa"/>
          <w:tcMar>
            <w:left w:w="57" w:type="dxa"/>
          </w:tcMar>
          <w:vAlign w:val="center"/>
        </w:tcPr>
        <w:p w:rsidR="009C6BC6" w:rsidRPr="003B7BB5" w:rsidRDefault="009C6BC6" w:rsidP="003F5408">
          <w:pPr>
            <w:pStyle w:val="En-tte"/>
            <w:rPr>
              <w:noProof/>
              <w:lang w:val="en-US" w:eastAsia="en-US"/>
            </w:rPr>
          </w:pPr>
          <w:r>
            <w:rPr>
              <w:noProof/>
              <w:lang w:val="fr-FR" w:eastAsia="fr-FR"/>
            </w:rPr>
            <w:drawing>
              <wp:inline distT="0" distB="0" distL="0" distR="0">
                <wp:extent cx="1162050" cy="31333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LI_Tagline_text only.jpg"/>
                        <pic:cNvPicPr/>
                      </pic:nvPicPr>
                      <pic:blipFill>
                        <a:blip r:embed="rId2">
                          <a:extLst>
                            <a:ext uri="{28A0092B-C50C-407E-A947-70E740481C1C}">
                              <a14:useLocalDpi xmlns:a14="http://schemas.microsoft.com/office/drawing/2010/main" val="0"/>
                            </a:ext>
                          </a:extLst>
                        </a:blip>
                        <a:stretch>
                          <a:fillRect/>
                        </a:stretch>
                      </pic:blipFill>
                      <pic:spPr>
                        <a:xfrm>
                          <a:off x="0" y="0"/>
                          <a:ext cx="1165508" cy="314262"/>
                        </a:xfrm>
                        <a:prstGeom prst="rect">
                          <a:avLst/>
                        </a:prstGeom>
                      </pic:spPr>
                    </pic:pic>
                  </a:graphicData>
                </a:graphic>
              </wp:inline>
            </w:drawing>
          </w:r>
        </w:p>
      </w:tc>
      <w:tc>
        <w:tcPr>
          <w:tcW w:w="1984" w:type="dxa"/>
          <w:vAlign w:val="center"/>
        </w:tcPr>
        <w:p w:rsidR="009C6BC6" w:rsidRPr="003B7BB5" w:rsidRDefault="009C6BC6" w:rsidP="00030474">
          <w:pPr>
            <w:pStyle w:val="En-tte"/>
            <w:jc w:val="center"/>
            <w:rPr>
              <w:noProof/>
              <w:lang w:val="en-US" w:eastAsia="en-US"/>
            </w:rPr>
          </w:pPr>
          <w:r w:rsidRPr="003B7BB5">
            <w:rPr>
              <w:noProof/>
              <w:lang w:val="fr-FR" w:eastAsia="fr-FR"/>
            </w:rPr>
            <w:drawing>
              <wp:inline distT="0" distB="0" distL="0" distR="0">
                <wp:extent cx="1238250" cy="273454"/>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ED_full_horiz_logo(green).jpg"/>
                        <pic:cNvPicPr/>
                      </pic:nvPicPr>
                      <pic:blipFill>
                        <a:blip r:embed="rId3">
                          <a:extLst>
                            <a:ext uri="{28A0092B-C50C-407E-A947-70E740481C1C}">
                              <a14:useLocalDpi xmlns:a14="http://schemas.microsoft.com/office/drawing/2010/main" val="0"/>
                            </a:ext>
                          </a:extLst>
                        </a:blip>
                        <a:stretch>
                          <a:fillRect/>
                        </a:stretch>
                      </pic:blipFill>
                      <pic:spPr>
                        <a:xfrm>
                          <a:off x="0" y="0"/>
                          <a:ext cx="1242421" cy="274375"/>
                        </a:xfrm>
                        <a:prstGeom prst="rect">
                          <a:avLst/>
                        </a:prstGeom>
                      </pic:spPr>
                    </pic:pic>
                  </a:graphicData>
                </a:graphic>
              </wp:inline>
            </w:drawing>
          </w:r>
        </w:p>
      </w:tc>
      <w:tc>
        <w:tcPr>
          <w:tcW w:w="1985" w:type="dxa"/>
          <w:vAlign w:val="center"/>
        </w:tcPr>
        <w:p w:rsidR="009C6BC6" w:rsidRDefault="009C6BC6" w:rsidP="00030474">
          <w:pPr>
            <w:pStyle w:val="En-tte"/>
            <w:jc w:val="center"/>
            <w:rPr>
              <w:noProof/>
              <w:lang w:val="en-US" w:eastAsia="en-US"/>
            </w:rPr>
          </w:pPr>
          <w:r>
            <w:rPr>
              <w:noProof/>
              <w:lang w:val="fr-FR" w:eastAsia="fr-FR"/>
            </w:rPr>
            <w:drawing>
              <wp:inline distT="0" distB="0" distL="0" distR="0">
                <wp:extent cx="950633" cy="342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FFIC_higherres.jpeg"/>
                        <pic:cNvPicPr/>
                      </pic:nvPicPr>
                      <pic:blipFill>
                        <a:blip r:embed="rId4">
                          <a:extLst>
                            <a:ext uri="{28A0092B-C50C-407E-A947-70E740481C1C}">
                              <a14:useLocalDpi xmlns:a14="http://schemas.microsoft.com/office/drawing/2010/main" val="0"/>
                            </a:ext>
                          </a:extLst>
                        </a:blip>
                        <a:stretch>
                          <a:fillRect/>
                        </a:stretch>
                      </pic:blipFill>
                      <pic:spPr>
                        <a:xfrm>
                          <a:off x="0" y="0"/>
                          <a:ext cx="950633" cy="342900"/>
                        </a:xfrm>
                        <a:prstGeom prst="rect">
                          <a:avLst/>
                        </a:prstGeom>
                      </pic:spPr>
                    </pic:pic>
                  </a:graphicData>
                </a:graphic>
              </wp:inline>
            </w:drawing>
          </w:r>
        </w:p>
      </w:tc>
      <w:tc>
        <w:tcPr>
          <w:tcW w:w="1417" w:type="dxa"/>
          <w:tcMar>
            <w:right w:w="142" w:type="dxa"/>
          </w:tcMar>
          <w:vAlign w:val="center"/>
        </w:tcPr>
        <w:p w:rsidR="009C6BC6" w:rsidRPr="003B7BB5" w:rsidRDefault="009C6BC6" w:rsidP="009C6BC6">
          <w:pPr>
            <w:pStyle w:val="En-tte"/>
            <w:jc w:val="both"/>
            <w:rPr>
              <w:noProof/>
              <w:lang w:val="en-US" w:eastAsia="en-US"/>
            </w:rPr>
          </w:pPr>
          <w:r>
            <w:rPr>
              <w:noProof/>
              <w:lang w:val="fr-FR" w:eastAsia="fr-FR"/>
            </w:rPr>
            <w:drawing>
              <wp:inline distT="0" distB="0" distL="0" distR="0">
                <wp:extent cx="792480" cy="7073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2480" cy="707390"/>
                        </a:xfrm>
                        <a:prstGeom prst="rect">
                          <a:avLst/>
                        </a:prstGeom>
                        <a:noFill/>
                      </pic:spPr>
                    </pic:pic>
                  </a:graphicData>
                </a:graphic>
              </wp:inline>
            </w:drawing>
          </w:r>
        </w:p>
      </w:tc>
    </w:tr>
  </w:tbl>
  <w:p w:rsidR="009C6BC6" w:rsidRDefault="009C6BC6" w:rsidP="008B096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480874"/>
    <w:multiLevelType w:val="multilevel"/>
    <w:tmpl w:val="0A2A3FFE"/>
    <w:styleLink w:val="List1"/>
    <w:lvl w:ilvl="0">
      <w:numFmt w:val="bullet"/>
      <w:lvlText w:val="•"/>
      <w:lvlJc w:val="left"/>
      <w:pPr>
        <w:tabs>
          <w:tab w:val="num" w:pos="720"/>
        </w:tabs>
        <w:ind w:left="720" w:hanging="360"/>
      </w:pPr>
      <w:rPr>
        <w:rFonts w:ascii="Cambria" w:eastAsia="Cambria" w:hAnsi="Cambria" w:cs="Cambria"/>
        <w:b/>
        <w:bCs/>
        <w:position w:val="0"/>
        <w:sz w:val="22"/>
        <w:szCs w:val="22"/>
        <w:rtl w:val="0"/>
        <w:lang w:val="en-US"/>
      </w:rPr>
    </w:lvl>
    <w:lvl w:ilvl="1">
      <w:start w:val="1"/>
      <w:numFmt w:val="bullet"/>
      <w:lvlText w:val="o"/>
      <w:lvlJc w:val="left"/>
      <w:pPr>
        <w:tabs>
          <w:tab w:val="num" w:pos="1440"/>
        </w:tabs>
        <w:ind w:left="1440" w:hanging="360"/>
      </w:pPr>
      <w:rPr>
        <w:rFonts w:ascii="Cambria" w:eastAsia="Cambria" w:hAnsi="Cambria" w:cs="Cambria"/>
        <w:b/>
        <w:bCs/>
        <w:position w:val="0"/>
        <w:sz w:val="24"/>
        <w:szCs w:val="24"/>
        <w:rtl w:val="0"/>
        <w:lang w:val="en-US"/>
      </w:rPr>
    </w:lvl>
    <w:lvl w:ilvl="2">
      <w:start w:val="1"/>
      <w:numFmt w:val="bullet"/>
      <w:lvlText w:val="▪"/>
      <w:lvlJc w:val="left"/>
      <w:pPr>
        <w:tabs>
          <w:tab w:val="num" w:pos="2160"/>
        </w:tabs>
        <w:ind w:left="2160" w:hanging="360"/>
      </w:pPr>
      <w:rPr>
        <w:rFonts w:ascii="Cambria" w:eastAsia="Cambria" w:hAnsi="Cambria" w:cs="Cambria"/>
        <w:b/>
        <w:bCs/>
        <w:position w:val="0"/>
        <w:sz w:val="24"/>
        <w:szCs w:val="24"/>
        <w:rtl w:val="0"/>
        <w:lang w:val="en-US"/>
      </w:rPr>
    </w:lvl>
    <w:lvl w:ilvl="3">
      <w:start w:val="1"/>
      <w:numFmt w:val="bullet"/>
      <w:lvlText w:val="•"/>
      <w:lvlJc w:val="left"/>
      <w:pPr>
        <w:tabs>
          <w:tab w:val="num" w:pos="2880"/>
        </w:tabs>
        <w:ind w:left="2880" w:hanging="360"/>
      </w:pPr>
      <w:rPr>
        <w:rFonts w:ascii="Cambria" w:eastAsia="Cambria" w:hAnsi="Cambria" w:cs="Cambria"/>
        <w:b/>
        <w:bCs/>
        <w:position w:val="0"/>
        <w:sz w:val="24"/>
        <w:szCs w:val="24"/>
        <w:rtl w:val="0"/>
        <w:lang w:val="en-US"/>
      </w:rPr>
    </w:lvl>
    <w:lvl w:ilvl="4">
      <w:start w:val="1"/>
      <w:numFmt w:val="bullet"/>
      <w:lvlText w:val="o"/>
      <w:lvlJc w:val="left"/>
      <w:pPr>
        <w:tabs>
          <w:tab w:val="num" w:pos="3600"/>
        </w:tabs>
        <w:ind w:left="3600" w:hanging="360"/>
      </w:pPr>
      <w:rPr>
        <w:rFonts w:ascii="Cambria" w:eastAsia="Cambria" w:hAnsi="Cambria" w:cs="Cambria"/>
        <w:b/>
        <w:bCs/>
        <w:position w:val="0"/>
        <w:sz w:val="24"/>
        <w:szCs w:val="24"/>
        <w:rtl w:val="0"/>
        <w:lang w:val="en-US"/>
      </w:rPr>
    </w:lvl>
    <w:lvl w:ilvl="5">
      <w:start w:val="1"/>
      <w:numFmt w:val="bullet"/>
      <w:lvlText w:val="▪"/>
      <w:lvlJc w:val="left"/>
      <w:pPr>
        <w:tabs>
          <w:tab w:val="num" w:pos="4320"/>
        </w:tabs>
        <w:ind w:left="4320" w:hanging="360"/>
      </w:pPr>
      <w:rPr>
        <w:rFonts w:ascii="Cambria" w:eastAsia="Cambria" w:hAnsi="Cambria" w:cs="Cambria"/>
        <w:b/>
        <w:bCs/>
        <w:position w:val="0"/>
        <w:sz w:val="24"/>
        <w:szCs w:val="24"/>
        <w:rtl w:val="0"/>
        <w:lang w:val="en-US"/>
      </w:rPr>
    </w:lvl>
    <w:lvl w:ilvl="6">
      <w:start w:val="1"/>
      <w:numFmt w:val="bullet"/>
      <w:lvlText w:val="•"/>
      <w:lvlJc w:val="left"/>
      <w:pPr>
        <w:tabs>
          <w:tab w:val="num" w:pos="5040"/>
        </w:tabs>
        <w:ind w:left="5040" w:hanging="360"/>
      </w:pPr>
      <w:rPr>
        <w:rFonts w:ascii="Cambria" w:eastAsia="Cambria" w:hAnsi="Cambria" w:cs="Cambria"/>
        <w:b/>
        <w:bCs/>
        <w:position w:val="0"/>
        <w:sz w:val="24"/>
        <w:szCs w:val="24"/>
        <w:rtl w:val="0"/>
        <w:lang w:val="en-US"/>
      </w:rPr>
    </w:lvl>
    <w:lvl w:ilvl="7">
      <w:start w:val="1"/>
      <w:numFmt w:val="bullet"/>
      <w:lvlText w:val="o"/>
      <w:lvlJc w:val="left"/>
      <w:pPr>
        <w:tabs>
          <w:tab w:val="num" w:pos="5760"/>
        </w:tabs>
        <w:ind w:left="5760" w:hanging="360"/>
      </w:pPr>
      <w:rPr>
        <w:rFonts w:ascii="Cambria" w:eastAsia="Cambria" w:hAnsi="Cambria" w:cs="Cambria"/>
        <w:b/>
        <w:bCs/>
        <w:position w:val="0"/>
        <w:sz w:val="24"/>
        <w:szCs w:val="24"/>
        <w:rtl w:val="0"/>
        <w:lang w:val="en-US"/>
      </w:rPr>
    </w:lvl>
    <w:lvl w:ilvl="8">
      <w:start w:val="1"/>
      <w:numFmt w:val="bullet"/>
      <w:lvlText w:val="▪"/>
      <w:lvlJc w:val="left"/>
      <w:pPr>
        <w:tabs>
          <w:tab w:val="num" w:pos="6480"/>
        </w:tabs>
        <w:ind w:left="6480" w:hanging="360"/>
      </w:pPr>
      <w:rPr>
        <w:rFonts w:ascii="Cambria" w:eastAsia="Cambria" w:hAnsi="Cambria" w:cs="Cambria"/>
        <w:b/>
        <w:bCs/>
        <w:position w:val="0"/>
        <w:sz w:val="24"/>
        <w:szCs w:val="24"/>
        <w:rtl w:val="0"/>
        <w:lang w:val="en-US"/>
      </w:rPr>
    </w:lvl>
  </w:abstractNum>
  <w:abstractNum w:abstractNumId="1" w15:restartNumberingAfterBreak="0">
    <w:nsid w:val="39023991"/>
    <w:multiLevelType w:val="multilevel"/>
    <w:tmpl w:val="704A2BB2"/>
    <w:styleLink w:val="List21"/>
    <w:lvl w:ilvl="0">
      <w:numFmt w:val="bullet"/>
      <w:lvlText w:val="•"/>
      <w:lvlJc w:val="left"/>
      <w:pPr>
        <w:tabs>
          <w:tab w:val="num" w:pos="720"/>
        </w:tabs>
        <w:ind w:left="720" w:hanging="360"/>
      </w:pPr>
      <w:rPr>
        <w:rFonts w:ascii="Cambria" w:eastAsia="Cambria" w:hAnsi="Cambria" w:cs="Cambria"/>
        <w:b/>
        <w:bCs/>
        <w:position w:val="0"/>
        <w:sz w:val="22"/>
        <w:szCs w:val="22"/>
        <w:rtl w:val="0"/>
        <w:lang w:val="en-US"/>
      </w:rPr>
    </w:lvl>
    <w:lvl w:ilvl="1">
      <w:start w:val="1"/>
      <w:numFmt w:val="bullet"/>
      <w:lvlText w:val="o"/>
      <w:lvlJc w:val="left"/>
      <w:pPr>
        <w:tabs>
          <w:tab w:val="num" w:pos="1440"/>
        </w:tabs>
        <w:ind w:left="1440" w:hanging="360"/>
      </w:pPr>
      <w:rPr>
        <w:rFonts w:ascii="Cambria" w:eastAsia="Cambria" w:hAnsi="Cambria" w:cs="Cambria"/>
        <w:b/>
        <w:bCs/>
        <w:position w:val="0"/>
        <w:sz w:val="24"/>
        <w:szCs w:val="24"/>
        <w:rtl w:val="0"/>
        <w:lang w:val="en-US"/>
      </w:rPr>
    </w:lvl>
    <w:lvl w:ilvl="2">
      <w:start w:val="1"/>
      <w:numFmt w:val="bullet"/>
      <w:lvlText w:val="▪"/>
      <w:lvlJc w:val="left"/>
      <w:pPr>
        <w:tabs>
          <w:tab w:val="num" w:pos="2160"/>
        </w:tabs>
        <w:ind w:left="2160" w:hanging="360"/>
      </w:pPr>
      <w:rPr>
        <w:rFonts w:ascii="Cambria" w:eastAsia="Cambria" w:hAnsi="Cambria" w:cs="Cambria"/>
        <w:b/>
        <w:bCs/>
        <w:position w:val="0"/>
        <w:sz w:val="24"/>
        <w:szCs w:val="24"/>
        <w:rtl w:val="0"/>
        <w:lang w:val="en-US"/>
      </w:rPr>
    </w:lvl>
    <w:lvl w:ilvl="3">
      <w:start w:val="1"/>
      <w:numFmt w:val="bullet"/>
      <w:lvlText w:val="•"/>
      <w:lvlJc w:val="left"/>
      <w:pPr>
        <w:tabs>
          <w:tab w:val="num" w:pos="2880"/>
        </w:tabs>
        <w:ind w:left="2880" w:hanging="360"/>
      </w:pPr>
      <w:rPr>
        <w:rFonts w:ascii="Cambria" w:eastAsia="Cambria" w:hAnsi="Cambria" w:cs="Cambria"/>
        <w:b/>
        <w:bCs/>
        <w:position w:val="0"/>
        <w:sz w:val="24"/>
        <w:szCs w:val="24"/>
        <w:rtl w:val="0"/>
        <w:lang w:val="en-US"/>
      </w:rPr>
    </w:lvl>
    <w:lvl w:ilvl="4">
      <w:start w:val="1"/>
      <w:numFmt w:val="bullet"/>
      <w:lvlText w:val="o"/>
      <w:lvlJc w:val="left"/>
      <w:pPr>
        <w:tabs>
          <w:tab w:val="num" w:pos="3600"/>
        </w:tabs>
        <w:ind w:left="3600" w:hanging="360"/>
      </w:pPr>
      <w:rPr>
        <w:rFonts w:ascii="Cambria" w:eastAsia="Cambria" w:hAnsi="Cambria" w:cs="Cambria"/>
        <w:b/>
        <w:bCs/>
        <w:position w:val="0"/>
        <w:sz w:val="24"/>
        <w:szCs w:val="24"/>
        <w:rtl w:val="0"/>
        <w:lang w:val="en-US"/>
      </w:rPr>
    </w:lvl>
    <w:lvl w:ilvl="5">
      <w:start w:val="1"/>
      <w:numFmt w:val="bullet"/>
      <w:lvlText w:val="▪"/>
      <w:lvlJc w:val="left"/>
      <w:pPr>
        <w:tabs>
          <w:tab w:val="num" w:pos="4320"/>
        </w:tabs>
        <w:ind w:left="4320" w:hanging="360"/>
      </w:pPr>
      <w:rPr>
        <w:rFonts w:ascii="Cambria" w:eastAsia="Cambria" w:hAnsi="Cambria" w:cs="Cambria"/>
        <w:b/>
        <w:bCs/>
        <w:position w:val="0"/>
        <w:sz w:val="24"/>
        <w:szCs w:val="24"/>
        <w:rtl w:val="0"/>
        <w:lang w:val="en-US"/>
      </w:rPr>
    </w:lvl>
    <w:lvl w:ilvl="6">
      <w:start w:val="1"/>
      <w:numFmt w:val="bullet"/>
      <w:lvlText w:val="•"/>
      <w:lvlJc w:val="left"/>
      <w:pPr>
        <w:tabs>
          <w:tab w:val="num" w:pos="5040"/>
        </w:tabs>
        <w:ind w:left="5040" w:hanging="360"/>
      </w:pPr>
      <w:rPr>
        <w:rFonts w:ascii="Cambria" w:eastAsia="Cambria" w:hAnsi="Cambria" w:cs="Cambria"/>
        <w:b/>
        <w:bCs/>
        <w:position w:val="0"/>
        <w:sz w:val="24"/>
        <w:szCs w:val="24"/>
        <w:rtl w:val="0"/>
        <w:lang w:val="en-US"/>
      </w:rPr>
    </w:lvl>
    <w:lvl w:ilvl="7">
      <w:start w:val="1"/>
      <w:numFmt w:val="bullet"/>
      <w:lvlText w:val="o"/>
      <w:lvlJc w:val="left"/>
      <w:pPr>
        <w:tabs>
          <w:tab w:val="num" w:pos="5760"/>
        </w:tabs>
        <w:ind w:left="5760" w:hanging="360"/>
      </w:pPr>
      <w:rPr>
        <w:rFonts w:ascii="Cambria" w:eastAsia="Cambria" w:hAnsi="Cambria" w:cs="Cambria"/>
        <w:b/>
        <w:bCs/>
        <w:position w:val="0"/>
        <w:sz w:val="24"/>
        <w:szCs w:val="24"/>
        <w:rtl w:val="0"/>
        <w:lang w:val="en-US"/>
      </w:rPr>
    </w:lvl>
    <w:lvl w:ilvl="8">
      <w:start w:val="1"/>
      <w:numFmt w:val="bullet"/>
      <w:lvlText w:val="▪"/>
      <w:lvlJc w:val="left"/>
      <w:pPr>
        <w:tabs>
          <w:tab w:val="num" w:pos="6480"/>
        </w:tabs>
        <w:ind w:left="6480" w:hanging="360"/>
      </w:pPr>
      <w:rPr>
        <w:rFonts w:ascii="Cambria" w:eastAsia="Cambria" w:hAnsi="Cambria" w:cs="Cambria"/>
        <w:b/>
        <w:bCs/>
        <w:position w:val="0"/>
        <w:sz w:val="24"/>
        <w:szCs w:val="24"/>
        <w:rtl w:val="0"/>
        <w:lang w:val="en-US"/>
      </w:rPr>
    </w:lvl>
  </w:abstractNum>
  <w:abstractNum w:abstractNumId="2" w15:restartNumberingAfterBreak="0">
    <w:nsid w:val="5D2529BF"/>
    <w:multiLevelType w:val="multilevel"/>
    <w:tmpl w:val="8690E082"/>
    <w:styleLink w:val="List0"/>
    <w:lvl w:ilvl="0">
      <w:numFmt w:val="bullet"/>
      <w:lvlText w:val="•"/>
      <w:lvlJc w:val="left"/>
      <w:pPr>
        <w:tabs>
          <w:tab w:val="num" w:pos="720"/>
        </w:tabs>
        <w:ind w:left="720" w:hanging="360"/>
      </w:pPr>
      <w:rPr>
        <w:rFonts w:ascii="Cambria" w:eastAsia="Cambria" w:hAnsi="Cambria" w:cs="Cambria"/>
        <w:b/>
        <w:bCs/>
        <w:position w:val="0"/>
        <w:sz w:val="22"/>
        <w:szCs w:val="22"/>
        <w:rtl w:val="0"/>
        <w:lang w:val="en-US"/>
      </w:rPr>
    </w:lvl>
    <w:lvl w:ilvl="1">
      <w:start w:val="1"/>
      <w:numFmt w:val="bullet"/>
      <w:lvlText w:val="o"/>
      <w:lvlJc w:val="left"/>
      <w:pPr>
        <w:tabs>
          <w:tab w:val="num" w:pos="1440"/>
        </w:tabs>
        <w:ind w:left="1440" w:hanging="360"/>
      </w:pPr>
      <w:rPr>
        <w:rFonts w:ascii="Cambria" w:eastAsia="Cambria" w:hAnsi="Cambria" w:cs="Cambria"/>
        <w:b/>
        <w:bCs/>
        <w:position w:val="0"/>
        <w:sz w:val="24"/>
        <w:szCs w:val="24"/>
        <w:rtl w:val="0"/>
        <w:lang w:val="en-US"/>
      </w:rPr>
    </w:lvl>
    <w:lvl w:ilvl="2">
      <w:start w:val="1"/>
      <w:numFmt w:val="bullet"/>
      <w:lvlText w:val="▪"/>
      <w:lvlJc w:val="left"/>
      <w:pPr>
        <w:tabs>
          <w:tab w:val="num" w:pos="2160"/>
        </w:tabs>
        <w:ind w:left="2160" w:hanging="360"/>
      </w:pPr>
      <w:rPr>
        <w:rFonts w:ascii="Cambria" w:eastAsia="Cambria" w:hAnsi="Cambria" w:cs="Cambria"/>
        <w:b/>
        <w:bCs/>
        <w:position w:val="0"/>
        <w:sz w:val="24"/>
        <w:szCs w:val="24"/>
        <w:rtl w:val="0"/>
        <w:lang w:val="en-US"/>
      </w:rPr>
    </w:lvl>
    <w:lvl w:ilvl="3">
      <w:start w:val="1"/>
      <w:numFmt w:val="bullet"/>
      <w:lvlText w:val="•"/>
      <w:lvlJc w:val="left"/>
      <w:pPr>
        <w:tabs>
          <w:tab w:val="num" w:pos="2880"/>
        </w:tabs>
        <w:ind w:left="2880" w:hanging="360"/>
      </w:pPr>
      <w:rPr>
        <w:rFonts w:ascii="Cambria" w:eastAsia="Cambria" w:hAnsi="Cambria" w:cs="Cambria"/>
        <w:b/>
        <w:bCs/>
        <w:position w:val="0"/>
        <w:sz w:val="24"/>
        <w:szCs w:val="24"/>
        <w:rtl w:val="0"/>
        <w:lang w:val="en-US"/>
      </w:rPr>
    </w:lvl>
    <w:lvl w:ilvl="4">
      <w:start w:val="1"/>
      <w:numFmt w:val="bullet"/>
      <w:lvlText w:val="o"/>
      <w:lvlJc w:val="left"/>
      <w:pPr>
        <w:tabs>
          <w:tab w:val="num" w:pos="3600"/>
        </w:tabs>
        <w:ind w:left="3600" w:hanging="360"/>
      </w:pPr>
      <w:rPr>
        <w:rFonts w:ascii="Cambria" w:eastAsia="Cambria" w:hAnsi="Cambria" w:cs="Cambria"/>
        <w:b/>
        <w:bCs/>
        <w:position w:val="0"/>
        <w:sz w:val="24"/>
        <w:szCs w:val="24"/>
        <w:rtl w:val="0"/>
        <w:lang w:val="en-US"/>
      </w:rPr>
    </w:lvl>
    <w:lvl w:ilvl="5">
      <w:start w:val="1"/>
      <w:numFmt w:val="bullet"/>
      <w:lvlText w:val="▪"/>
      <w:lvlJc w:val="left"/>
      <w:pPr>
        <w:tabs>
          <w:tab w:val="num" w:pos="4320"/>
        </w:tabs>
        <w:ind w:left="4320" w:hanging="360"/>
      </w:pPr>
      <w:rPr>
        <w:rFonts w:ascii="Cambria" w:eastAsia="Cambria" w:hAnsi="Cambria" w:cs="Cambria"/>
        <w:b/>
        <w:bCs/>
        <w:position w:val="0"/>
        <w:sz w:val="24"/>
        <w:szCs w:val="24"/>
        <w:rtl w:val="0"/>
        <w:lang w:val="en-US"/>
      </w:rPr>
    </w:lvl>
    <w:lvl w:ilvl="6">
      <w:start w:val="1"/>
      <w:numFmt w:val="bullet"/>
      <w:lvlText w:val="•"/>
      <w:lvlJc w:val="left"/>
      <w:pPr>
        <w:tabs>
          <w:tab w:val="num" w:pos="5040"/>
        </w:tabs>
        <w:ind w:left="5040" w:hanging="360"/>
      </w:pPr>
      <w:rPr>
        <w:rFonts w:ascii="Cambria" w:eastAsia="Cambria" w:hAnsi="Cambria" w:cs="Cambria"/>
        <w:b/>
        <w:bCs/>
        <w:position w:val="0"/>
        <w:sz w:val="24"/>
        <w:szCs w:val="24"/>
        <w:rtl w:val="0"/>
        <w:lang w:val="en-US"/>
      </w:rPr>
    </w:lvl>
    <w:lvl w:ilvl="7">
      <w:start w:val="1"/>
      <w:numFmt w:val="bullet"/>
      <w:lvlText w:val="o"/>
      <w:lvlJc w:val="left"/>
      <w:pPr>
        <w:tabs>
          <w:tab w:val="num" w:pos="5760"/>
        </w:tabs>
        <w:ind w:left="5760" w:hanging="360"/>
      </w:pPr>
      <w:rPr>
        <w:rFonts w:ascii="Cambria" w:eastAsia="Cambria" w:hAnsi="Cambria" w:cs="Cambria"/>
        <w:b/>
        <w:bCs/>
        <w:position w:val="0"/>
        <w:sz w:val="24"/>
        <w:szCs w:val="24"/>
        <w:rtl w:val="0"/>
        <w:lang w:val="en-US"/>
      </w:rPr>
    </w:lvl>
    <w:lvl w:ilvl="8">
      <w:start w:val="1"/>
      <w:numFmt w:val="bullet"/>
      <w:lvlText w:val="▪"/>
      <w:lvlJc w:val="left"/>
      <w:pPr>
        <w:tabs>
          <w:tab w:val="num" w:pos="6480"/>
        </w:tabs>
        <w:ind w:left="6480" w:hanging="360"/>
      </w:pPr>
      <w:rPr>
        <w:rFonts w:ascii="Cambria" w:eastAsia="Cambria" w:hAnsi="Cambria" w:cs="Cambria"/>
        <w:b/>
        <w:bCs/>
        <w:position w:val="0"/>
        <w:sz w:val="24"/>
        <w:szCs w:val="24"/>
        <w:rtl w:val="0"/>
        <w:lang w:val="en-US"/>
      </w:rPr>
    </w:lvl>
  </w:abstractNum>
  <w:abstractNum w:abstractNumId="3" w15:restartNumberingAfterBreak="0">
    <w:nsid w:val="7AE156FA"/>
    <w:multiLevelType w:val="multilevel"/>
    <w:tmpl w:val="1EF852B8"/>
    <w:styleLink w:val="ImportedStyle2"/>
    <w:lvl w:ilvl="0">
      <w:numFmt w:val="bullet"/>
      <w:lvlText w:val="•"/>
      <w:lvlJc w:val="left"/>
      <w:pPr>
        <w:tabs>
          <w:tab w:val="num" w:pos="720"/>
        </w:tabs>
        <w:ind w:left="720" w:hanging="360"/>
      </w:pPr>
      <w:rPr>
        <w:rFonts w:ascii="Times New Roman" w:eastAsia="Times New Roman" w:hAnsi="Times New Roman" w:cs="Times New Roman"/>
        <w:b/>
        <w:bCs/>
        <w:position w:val="0"/>
        <w:sz w:val="22"/>
        <w:szCs w:val="22"/>
        <w:lang w:val="en-US"/>
      </w:rPr>
    </w:lvl>
    <w:lvl w:ilvl="1">
      <w:start w:val="1"/>
      <w:numFmt w:val="bullet"/>
      <w:lvlText w:val="o"/>
      <w:lvlJc w:val="left"/>
      <w:pPr>
        <w:tabs>
          <w:tab w:val="num" w:pos="1440"/>
        </w:tabs>
        <w:ind w:left="1440" w:hanging="360"/>
      </w:pPr>
      <w:rPr>
        <w:rFonts w:ascii="Cambria" w:eastAsia="Cambria" w:hAnsi="Cambria" w:cs="Cambria"/>
        <w:b/>
        <w:bCs/>
        <w:position w:val="0"/>
        <w:sz w:val="24"/>
        <w:szCs w:val="24"/>
        <w:lang w:val="de-DE"/>
      </w:rPr>
    </w:lvl>
    <w:lvl w:ilvl="2">
      <w:start w:val="1"/>
      <w:numFmt w:val="bullet"/>
      <w:lvlText w:val="▪"/>
      <w:lvlJc w:val="left"/>
      <w:pPr>
        <w:tabs>
          <w:tab w:val="num" w:pos="2160"/>
        </w:tabs>
        <w:ind w:left="2160" w:hanging="360"/>
      </w:pPr>
      <w:rPr>
        <w:rFonts w:ascii="Cambria" w:eastAsia="Cambria" w:hAnsi="Cambria" w:cs="Cambria"/>
        <w:b/>
        <w:bCs/>
        <w:position w:val="0"/>
        <w:sz w:val="24"/>
        <w:szCs w:val="24"/>
        <w:lang w:val="de-DE"/>
      </w:rPr>
    </w:lvl>
    <w:lvl w:ilvl="3">
      <w:start w:val="1"/>
      <w:numFmt w:val="bullet"/>
      <w:lvlText w:val="•"/>
      <w:lvlJc w:val="left"/>
      <w:pPr>
        <w:tabs>
          <w:tab w:val="num" w:pos="2880"/>
        </w:tabs>
        <w:ind w:left="2880" w:hanging="360"/>
      </w:pPr>
      <w:rPr>
        <w:rFonts w:ascii="Cambria" w:eastAsia="Cambria" w:hAnsi="Cambria" w:cs="Cambria"/>
        <w:b/>
        <w:bCs/>
        <w:position w:val="0"/>
        <w:sz w:val="24"/>
        <w:szCs w:val="24"/>
        <w:lang w:val="de-DE"/>
      </w:rPr>
    </w:lvl>
    <w:lvl w:ilvl="4">
      <w:start w:val="1"/>
      <w:numFmt w:val="bullet"/>
      <w:lvlText w:val="o"/>
      <w:lvlJc w:val="left"/>
      <w:pPr>
        <w:tabs>
          <w:tab w:val="num" w:pos="3600"/>
        </w:tabs>
        <w:ind w:left="3600" w:hanging="360"/>
      </w:pPr>
      <w:rPr>
        <w:rFonts w:ascii="Cambria" w:eastAsia="Cambria" w:hAnsi="Cambria" w:cs="Cambria"/>
        <w:b/>
        <w:bCs/>
        <w:position w:val="0"/>
        <w:sz w:val="24"/>
        <w:szCs w:val="24"/>
        <w:lang w:val="de-DE"/>
      </w:rPr>
    </w:lvl>
    <w:lvl w:ilvl="5">
      <w:start w:val="1"/>
      <w:numFmt w:val="bullet"/>
      <w:lvlText w:val="▪"/>
      <w:lvlJc w:val="left"/>
      <w:pPr>
        <w:tabs>
          <w:tab w:val="num" w:pos="4320"/>
        </w:tabs>
        <w:ind w:left="4320" w:hanging="360"/>
      </w:pPr>
      <w:rPr>
        <w:rFonts w:ascii="Cambria" w:eastAsia="Cambria" w:hAnsi="Cambria" w:cs="Cambria"/>
        <w:b/>
        <w:bCs/>
        <w:position w:val="0"/>
        <w:sz w:val="24"/>
        <w:szCs w:val="24"/>
        <w:lang w:val="de-DE"/>
      </w:rPr>
    </w:lvl>
    <w:lvl w:ilvl="6">
      <w:start w:val="1"/>
      <w:numFmt w:val="bullet"/>
      <w:lvlText w:val="•"/>
      <w:lvlJc w:val="left"/>
      <w:pPr>
        <w:tabs>
          <w:tab w:val="num" w:pos="5040"/>
        </w:tabs>
        <w:ind w:left="5040" w:hanging="360"/>
      </w:pPr>
      <w:rPr>
        <w:rFonts w:ascii="Cambria" w:eastAsia="Cambria" w:hAnsi="Cambria" w:cs="Cambria"/>
        <w:b/>
        <w:bCs/>
        <w:position w:val="0"/>
        <w:sz w:val="24"/>
        <w:szCs w:val="24"/>
        <w:lang w:val="de-DE"/>
      </w:rPr>
    </w:lvl>
    <w:lvl w:ilvl="7">
      <w:start w:val="1"/>
      <w:numFmt w:val="bullet"/>
      <w:lvlText w:val="o"/>
      <w:lvlJc w:val="left"/>
      <w:pPr>
        <w:tabs>
          <w:tab w:val="num" w:pos="5760"/>
        </w:tabs>
        <w:ind w:left="5760" w:hanging="360"/>
      </w:pPr>
      <w:rPr>
        <w:rFonts w:ascii="Cambria" w:eastAsia="Cambria" w:hAnsi="Cambria" w:cs="Cambria"/>
        <w:b/>
        <w:bCs/>
        <w:position w:val="0"/>
        <w:sz w:val="24"/>
        <w:szCs w:val="24"/>
        <w:lang w:val="de-DE"/>
      </w:rPr>
    </w:lvl>
    <w:lvl w:ilvl="8">
      <w:start w:val="1"/>
      <w:numFmt w:val="bullet"/>
      <w:lvlText w:val="▪"/>
      <w:lvlJc w:val="left"/>
      <w:pPr>
        <w:tabs>
          <w:tab w:val="num" w:pos="6480"/>
        </w:tabs>
        <w:ind w:left="6480" w:hanging="360"/>
      </w:pPr>
      <w:rPr>
        <w:rFonts w:ascii="Cambria" w:eastAsia="Cambria" w:hAnsi="Cambria" w:cs="Cambria"/>
        <w:b/>
        <w:bCs/>
        <w:position w:val="0"/>
        <w:sz w:val="24"/>
        <w:szCs w:val="24"/>
        <w:lang w:val="de-D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4D3"/>
    <w:rsid w:val="00030474"/>
    <w:rsid w:val="00173728"/>
    <w:rsid w:val="001C67CA"/>
    <w:rsid w:val="001E22C6"/>
    <w:rsid w:val="002E6148"/>
    <w:rsid w:val="00304ED1"/>
    <w:rsid w:val="00386935"/>
    <w:rsid w:val="00397C22"/>
    <w:rsid w:val="003C0F19"/>
    <w:rsid w:val="003E20D2"/>
    <w:rsid w:val="003F17F2"/>
    <w:rsid w:val="003F5408"/>
    <w:rsid w:val="0042193D"/>
    <w:rsid w:val="004469E6"/>
    <w:rsid w:val="00482E95"/>
    <w:rsid w:val="004B6D51"/>
    <w:rsid w:val="004E7156"/>
    <w:rsid w:val="005377C1"/>
    <w:rsid w:val="00556B64"/>
    <w:rsid w:val="00591456"/>
    <w:rsid w:val="00690954"/>
    <w:rsid w:val="00745585"/>
    <w:rsid w:val="0077119C"/>
    <w:rsid w:val="00784127"/>
    <w:rsid w:val="007C56DB"/>
    <w:rsid w:val="008A57B9"/>
    <w:rsid w:val="008B096A"/>
    <w:rsid w:val="009804DE"/>
    <w:rsid w:val="009C6BC6"/>
    <w:rsid w:val="00A10CE3"/>
    <w:rsid w:val="00A53475"/>
    <w:rsid w:val="00A83266"/>
    <w:rsid w:val="00A94A26"/>
    <w:rsid w:val="00B47A59"/>
    <w:rsid w:val="00B83E6D"/>
    <w:rsid w:val="00B844E2"/>
    <w:rsid w:val="00BF3F2A"/>
    <w:rsid w:val="00C837EF"/>
    <w:rsid w:val="00CE5890"/>
    <w:rsid w:val="00CF54D3"/>
    <w:rsid w:val="00D014A7"/>
    <w:rsid w:val="00E454D3"/>
    <w:rsid w:val="00E62562"/>
    <w:rsid w:val="00ED0812"/>
    <w:rsid w:val="00F11701"/>
    <w:rsid w:val="00F12010"/>
    <w:rsid w:val="00F83D73"/>
    <w:rsid w:val="00F97A04"/>
    <w:rsid w:val="00FD1349"/>
  </w:rsids>
  <m:mathPr>
    <m:mathFont m:val="Cambria Math"/>
    <m:brkBin m:val="before"/>
    <m:brkBinSub m:val="--"/>
    <m:smallFrac/>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D8B79E2-5886-41BE-98E5-04C60DB7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E454D3"/>
    <w:rPr>
      <w:u w:val="single"/>
    </w:rPr>
  </w:style>
  <w:style w:type="paragraph" w:customStyle="1" w:styleId="FootnoteText1">
    <w:name w:val="Footnote Text1"/>
    <w:basedOn w:val="Normal"/>
    <w:next w:val="Notedebasdepage"/>
    <w:link w:val="FootnoteTextChar"/>
    <w:uiPriority w:val="99"/>
    <w:unhideWhenUsed/>
    <w:rsid w:val="00E454D3"/>
    <w:rPr>
      <w:rFonts w:ascii="Times New Roman" w:eastAsia="Arial Unicode MS" w:hAnsi="Times New Roman" w:cs="Times New Roman"/>
      <w:sz w:val="20"/>
      <w:szCs w:val="20"/>
      <w:bdr w:val="nil"/>
    </w:rPr>
  </w:style>
  <w:style w:type="character" w:customStyle="1" w:styleId="FootnoteTextChar">
    <w:name w:val="Footnote Text Char"/>
    <w:basedOn w:val="Policepardfaut"/>
    <w:link w:val="FootnoteText1"/>
    <w:uiPriority w:val="99"/>
    <w:rsid w:val="00E454D3"/>
    <w:rPr>
      <w:rFonts w:ascii="Times New Roman" w:eastAsia="Arial Unicode MS" w:hAnsi="Times New Roman" w:cs="Times New Roman"/>
      <w:sz w:val="20"/>
      <w:szCs w:val="20"/>
      <w:bdr w:val="nil"/>
      <w:lang w:val="en-AU"/>
    </w:rPr>
  </w:style>
  <w:style w:type="character" w:styleId="Appelnotedebasdep">
    <w:name w:val="footnote reference"/>
    <w:basedOn w:val="Policepardfaut"/>
    <w:uiPriority w:val="99"/>
    <w:unhideWhenUsed/>
    <w:rsid w:val="00E454D3"/>
    <w:rPr>
      <w:vertAlign w:val="superscript"/>
    </w:rPr>
  </w:style>
  <w:style w:type="paragraph" w:styleId="Notedebasdepage">
    <w:name w:val="footnote text"/>
    <w:basedOn w:val="Normal"/>
    <w:link w:val="FootnoteTextChar1"/>
    <w:uiPriority w:val="99"/>
    <w:semiHidden/>
    <w:unhideWhenUsed/>
    <w:rsid w:val="00E454D3"/>
  </w:style>
  <w:style w:type="character" w:customStyle="1" w:styleId="FootnoteTextChar1">
    <w:name w:val="Footnote Text Char1"/>
    <w:basedOn w:val="Policepardfaut"/>
    <w:link w:val="Notedebasdepage"/>
    <w:uiPriority w:val="99"/>
    <w:semiHidden/>
    <w:rsid w:val="00E454D3"/>
  </w:style>
  <w:style w:type="paragraph" w:customStyle="1" w:styleId="Default">
    <w:name w:val="Default"/>
    <w:rsid w:val="00E454D3"/>
    <w:pPr>
      <w:autoSpaceDE w:val="0"/>
      <w:autoSpaceDN w:val="0"/>
      <w:adjustRightInd w:val="0"/>
    </w:pPr>
    <w:rPr>
      <w:rFonts w:ascii="Calibri" w:eastAsiaTheme="minorHAnsi" w:hAnsi="Calibri" w:cs="Calibri"/>
      <w:color w:val="000000"/>
      <w:lang w:val="en-GB"/>
    </w:rPr>
  </w:style>
  <w:style w:type="table" w:styleId="Grilledutableau">
    <w:name w:val="Table Grid"/>
    <w:basedOn w:val="TableauNormal"/>
    <w:uiPriority w:val="39"/>
    <w:rsid w:val="00E454D3"/>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7119C"/>
    <w:rPr>
      <w:sz w:val="18"/>
      <w:szCs w:val="18"/>
    </w:rPr>
  </w:style>
  <w:style w:type="paragraph" w:styleId="Commentaire">
    <w:name w:val="annotation text"/>
    <w:basedOn w:val="Normal"/>
    <w:link w:val="CommentTextChar"/>
    <w:uiPriority w:val="99"/>
    <w:semiHidden/>
    <w:unhideWhenUsed/>
    <w:rsid w:val="0077119C"/>
  </w:style>
  <w:style w:type="character" w:customStyle="1" w:styleId="CommentTextChar">
    <w:name w:val="Comment Text Char"/>
    <w:basedOn w:val="Policepardfaut"/>
    <w:link w:val="Commentaire"/>
    <w:uiPriority w:val="99"/>
    <w:semiHidden/>
    <w:rsid w:val="0077119C"/>
  </w:style>
  <w:style w:type="paragraph" w:styleId="Objetducommentaire">
    <w:name w:val="annotation subject"/>
    <w:basedOn w:val="Commentaire"/>
    <w:next w:val="Commentaire"/>
    <w:link w:val="CommentSubjectChar"/>
    <w:uiPriority w:val="99"/>
    <w:semiHidden/>
    <w:unhideWhenUsed/>
    <w:rsid w:val="0077119C"/>
    <w:rPr>
      <w:b/>
      <w:bCs/>
      <w:sz w:val="20"/>
      <w:szCs w:val="20"/>
    </w:rPr>
  </w:style>
  <w:style w:type="character" w:customStyle="1" w:styleId="CommentSubjectChar">
    <w:name w:val="Comment Subject Char"/>
    <w:basedOn w:val="CommentTextChar"/>
    <w:link w:val="Objetducommentaire"/>
    <w:uiPriority w:val="99"/>
    <w:semiHidden/>
    <w:rsid w:val="0077119C"/>
    <w:rPr>
      <w:b/>
      <w:bCs/>
      <w:sz w:val="20"/>
      <w:szCs w:val="20"/>
    </w:rPr>
  </w:style>
  <w:style w:type="paragraph" w:styleId="Textedebulles">
    <w:name w:val="Balloon Text"/>
    <w:basedOn w:val="Normal"/>
    <w:link w:val="BalloonTextChar"/>
    <w:uiPriority w:val="99"/>
    <w:semiHidden/>
    <w:unhideWhenUsed/>
    <w:rsid w:val="0077119C"/>
    <w:rPr>
      <w:rFonts w:ascii="Lucida Grande" w:hAnsi="Lucida Grande" w:cs="Lucida Grande"/>
      <w:sz w:val="18"/>
      <w:szCs w:val="18"/>
    </w:rPr>
  </w:style>
  <w:style w:type="character" w:customStyle="1" w:styleId="BalloonTextChar">
    <w:name w:val="Balloon Text Char"/>
    <w:basedOn w:val="Policepardfaut"/>
    <w:link w:val="Textedebulles"/>
    <w:uiPriority w:val="99"/>
    <w:semiHidden/>
    <w:rsid w:val="0077119C"/>
    <w:rPr>
      <w:rFonts w:ascii="Lucida Grande" w:hAnsi="Lucida Grande" w:cs="Lucida Grande"/>
      <w:sz w:val="18"/>
      <w:szCs w:val="18"/>
    </w:rPr>
  </w:style>
  <w:style w:type="paragraph" w:customStyle="1" w:styleId="BodyA">
    <w:name w:val="Body A"/>
    <w:rsid w:val="0077119C"/>
    <w:pPr>
      <w:pBdr>
        <w:top w:val="nil"/>
        <w:left w:val="nil"/>
        <w:bottom w:val="nil"/>
        <w:right w:val="nil"/>
        <w:between w:val="nil"/>
        <w:bar w:val="nil"/>
      </w:pBdr>
    </w:pPr>
    <w:rPr>
      <w:rFonts w:ascii="Cambria" w:eastAsia="Cambria" w:hAnsi="Cambria" w:cs="Cambria"/>
      <w:color w:val="000000"/>
      <w:u w:color="000000"/>
      <w:bdr w:val="nil"/>
    </w:rPr>
  </w:style>
  <w:style w:type="paragraph" w:styleId="Paragraphedeliste">
    <w:name w:val="List Paragraph"/>
    <w:rsid w:val="0077119C"/>
    <w:pPr>
      <w:pBdr>
        <w:top w:val="nil"/>
        <w:left w:val="nil"/>
        <w:bottom w:val="nil"/>
        <w:right w:val="nil"/>
        <w:between w:val="nil"/>
        <w:bar w:val="nil"/>
      </w:pBdr>
      <w:ind w:left="720"/>
    </w:pPr>
    <w:rPr>
      <w:rFonts w:ascii="Cambria" w:eastAsia="Cambria" w:hAnsi="Cambria" w:cs="Cambria"/>
      <w:color w:val="000000"/>
      <w:sz w:val="22"/>
      <w:szCs w:val="22"/>
      <w:u w:color="000000"/>
      <w:bdr w:val="nil"/>
      <w:lang w:val="de-DE"/>
    </w:rPr>
  </w:style>
  <w:style w:type="numbering" w:customStyle="1" w:styleId="List0">
    <w:name w:val="List 0"/>
    <w:basedOn w:val="Aucuneliste"/>
    <w:rsid w:val="0077119C"/>
    <w:pPr>
      <w:numPr>
        <w:numId w:val="1"/>
      </w:numPr>
    </w:pPr>
  </w:style>
  <w:style w:type="numbering" w:customStyle="1" w:styleId="ImportedStyle2">
    <w:name w:val="Imported Style 2"/>
    <w:rsid w:val="0077119C"/>
    <w:pPr>
      <w:numPr>
        <w:numId w:val="2"/>
      </w:numPr>
    </w:pPr>
  </w:style>
  <w:style w:type="numbering" w:customStyle="1" w:styleId="List1">
    <w:name w:val="List 1"/>
    <w:basedOn w:val="Aucuneliste"/>
    <w:rsid w:val="0077119C"/>
    <w:pPr>
      <w:numPr>
        <w:numId w:val="3"/>
      </w:numPr>
    </w:pPr>
  </w:style>
  <w:style w:type="numbering" w:customStyle="1" w:styleId="List21">
    <w:name w:val="List 21"/>
    <w:basedOn w:val="Aucuneliste"/>
    <w:rsid w:val="0077119C"/>
    <w:pPr>
      <w:numPr>
        <w:numId w:val="4"/>
      </w:numPr>
    </w:pPr>
  </w:style>
  <w:style w:type="paragraph" w:styleId="En-tte">
    <w:name w:val="header"/>
    <w:basedOn w:val="Normal"/>
    <w:link w:val="HeaderChar"/>
    <w:uiPriority w:val="99"/>
    <w:unhideWhenUsed/>
    <w:rsid w:val="001C67CA"/>
    <w:pPr>
      <w:tabs>
        <w:tab w:val="center" w:pos="4320"/>
        <w:tab w:val="right" w:pos="8640"/>
      </w:tabs>
    </w:pPr>
  </w:style>
  <w:style w:type="character" w:customStyle="1" w:styleId="HeaderChar">
    <w:name w:val="Header Char"/>
    <w:basedOn w:val="Policepardfaut"/>
    <w:link w:val="En-tte"/>
    <w:uiPriority w:val="99"/>
    <w:rsid w:val="001C67CA"/>
  </w:style>
  <w:style w:type="paragraph" w:styleId="Pieddepage">
    <w:name w:val="footer"/>
    <w:basedOn w:val="Normal"/>
    <w:link w:val="FooterChar"/>
    <w:uiPriority w:val="99"/>
    <w:unhideWhenUsed/>
    <w:rsid w:val="001C67CA"/>
    <w:pPr>
      <w:tabs>
        <w:tab w:val="center" w:pos="4320"/>
        <w:tab w:val="right" w:pos="8640"/>
      </w:tabs>
    </w:pPr>
  </w:style>
  <w:style w:type="character" w:customStyle="1" w:styleId="FooterChar">
    <w:name w:val="Footer Char"/>
    <w:basedOn w:val="Policepardfaut"/>
    <w:link w:val="Pieddepage"/>
    <w:uiPriority w:val="99"/>
    <w:rsid w:val="001C67CA"/>
  </w:style>
  <w:style w:type="character" w:styleId="Accentuation">
    <w:name w:val="Emphasis"/>
    <w:basedOn w:val="Policepardfaut"/>
    <w:uiPriority w:val="20"/>
    <w:qFormat/>
    <w:rsid w:val="00E625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586659">
      <w:bodyDiv w:val="1"/>
      <w:marLeft w:val="0"/>
      <w:marRight w:val="0"/>
      <w:marTop w:val="0"/>
      <w:marBottom w:val="0"/>
      <w:divBdr>
        <w:top w:val="none" w:sz="0" w:space="0" w:color="auto"/>
        <w:left w:val="none" w:sz="0" w:space="0" w:color="auto"/>
        <w:bottom w:val="none" w:sz="0" w:space="0" w:color="auto"/>
        <w:right w:val="none" w:sz="0" w:space="0" w:color="auto"/>
      </w:divBdr>
    </w:div>
    <w:div w:id="1681852184">
      <w:bodyDiv w:val="1"/>
      <w:marLeft w:val="0"/>
      <w:marRight w:val="0"/>
      <w:marTop w:val="0"/>
      <w:marBottom w:val="0"/>
      <w:divBdr>
        <w:top w:val="none" w:sz="0" w:space="0" w:color="auto"/>
        <w:left w:val="none" w:sz="0" w:space="0" w:color="auto"/>
        <w:bottom w:val="none" w:sz="0" w:space="0" w:color="auto"/>
        <w:right w:val="none" w:sz="0" w:space="0" w:color="auto"/>
      </w:divBdr>
      <w:divsChild>
        <w:div w:id="1985697773">
          <w:marLeft w:val="0"/>
          <w:marRight w:val="0"/>
          <w:marTop w:val="0"/>
          <w:marBottom w:val="0"/>
          <w:divBdr>
            <w:top w:val="none" w:sz="0" w:space="0" w:color="auto"/>
            <w:left w:val="none" w:sz="0" w:space="0" w:color="auto"/>
            <w:bottom w:val="none" w:sz="0" w:space="0" w:color="auto"/>
            <w:right w:val="none" w:sz="0" w:space="0" w:color="auto"/>
          </w:divBdr>
        </w:div>
        <w:div w:id="1006134194">
          <w:marLeft w:val="0"/>
          <w:marRight w:val="0"/>
          <w:marTop w:val="0"/>
          <w:marBottom w:val="0"/>
          <w:divBdr>
            <w:top w:val="none" w:sz="0" w:space="0" w:color="auto"/>
            <w:left w:val="none" w:sz="0" w:space="0" w:color="auto"/>
            <w:bottom w:val="none" w:sz="0" w:space="0" w:color="auto"/>
            <w:right w:val="none" w:sz="0" w:space="0" w:color="auto"/>
          </w:divBdr>
        </w:div>
        <w:div w:id="97258349">
          <w:marLeft w:val="0"/>
          <w:marRight w:val="0"/>
          <w:marTop w:val="0"/>
          <w:marBottom w:val="0"/>
          <w:divBdr>
            <w:top w:val="none" w:sz="0" w:space="0" w:color="auto"/>
            <w:left w:val="none" w:sz="0" w:space="0" w:color="auto"/>
            <w:bottom w:val="none" w:sz="0" w:space="0" w:color="auto"/>
            <w:right w:val="none" w:sz="0" w:space="0" w:color="auto"/>
          </w:divBdr>
          <w:divsChild>
            <w:div w:id="1154881362">
              <w:marLeft w:val="0"/>
              <w:marRight w:val="0"/>
              <w:marTop w:val="0"/>
              <w:marBottom w:val="0"/>
              <w:divBdr>
                <w:top w:val="none" w:sz="0" w:space="0" w:color="auto"/>
                <w:left w:val="none" w:sz="0" w:space="0" w:color="auto"/>
                <w:bottom w:val="none" w:sz="0" w:space="0" w:color="auto"/>
                <w:right w:val="none" w:sz="0" w:space="0" w:color="auto"/>
              </w:divBdr>
            </w:div>
            <w:div w:id="604464296">
              <w:marLeft w:val="0"/>
              <w:marRight w:val="0"/>
              <w:marTop w:val="0"/>
              <w:marBottom w:val="0"/>
              <w:divBdr>
                <w:top w:val="none" w:sz="0" w:space="0" w:color="auto"/>
                <w:left w:val="none" w:sz="0" w:space="0" w:color="auto"/>
                <w:bottom w:val="none" w:sz="0" w:space="0" w:color="auto"/>
                <w:right w:val="none" w:sz="0" w:space="0" w:color="auto"/>
              </w:divBdr>
            </w:div>
            <w:div w:id="697699451">
              <w:marLeft w:val="0"/>
              <w:marRight w:val="0"/>
              <w:marTop w:val="0"/>
              <w:marBottom w:val="0"/>
              <w:divBdr>
                <w:top w:val="none" w:sz="0" w:space="0" w:color="auto"/>
                <w:left w:val="none" w:sz="0" w:space="0" w:color="auto"/>
                <w:bottom w:val="none" w:sz="0" w:space="0" w:color="auto"/>
                <w:right w:val="none" w:sz="0" w:space="0" w:color="auto"/>
              </w:divBdr>
            </w:div>
            <w:div w:id="12499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945381">
      <w:bodyDiv w:val="1"/>
      <w:marLeft w:val="0"/>
      <w:marRight w:val="0"/>
      <w:marTop w:val="0"/>
      <w:marBottom w:val="0"/>
      <w:divBdr>
        <w:top w:val="none" w:sz="0" w:space="0" w:color="auto"/>
        <w:left w:val="none" w:sz="0" w:space="0" w:color="auto"/>
        <w:bottom w:val="none" w:sz="0" w:space="0" w:color="auto"/>
        <w:right w:val="none" w:sz="0" w:space="0" w:color="auto"/>
      </w:divBdr>
    </w:div>
    <w:div w:id="17738174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C7A26-19E9-44AF-AABA-D4BE2E450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1781</Words>
  <Characters>9799</Characters>
  <Application>Microsoft Office Word</Application>
  <DocSecurity>0</DocSecurity>
  <Lines>81</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SUSG</Company>
  <LinksUpToDate>false</LinksUpToDate>
  <CharactersWithSpaces>11557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 Cooney</dc:creator>
  <cp:lastModifiedBy>merline TT</cp:lastModifiedBy>
  <cp:revision>2</cp:revision>
  <dcterms:created xsi:type="dcterms:W3CDTF">2015-12-15T18:26:00Z</dcterms:created>
  <dcterms:modified xsi:type="dcterms:W3CDTF">2015-12-15T18:26:00Z</dcterms:modified>
</cp:coreProperties>
</file>