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215" w:rsidRDefault="009E379B" w:rsidP="00035215">
      <w:bookmarkStart w:id="0" w:name="_GoBack"/>
      <w:bookmarkEnd w:id="0"/>
      <w:r>
        <w:rPr>
          <w:noProof/>
          <w:lang w:val="fi-FI" w:eastAsia="fi-FI"/>
        </w:rPr>
        <w:drawing>
          <wp:anchor distT="0" distB="0" distL="114300" distR="114300" simplePos="0" relativeHeight="251659264" behindDoc="0" locked="0" layoutInCell="1" allowOverlap="1" wp14:editId="2018CFEF">
            <wp:simplePos x="0" y="0"/>
            <wp:positionH relativeFrom="column">
              <wp:posOffset>-441209</wp:posOffset>
            </wp:positionH>
            <wp:positionV relativeFrom="paragraph">
              <wp:posOffset>-196215</wp:posOffset>
            </wp:positionV>
            <wp:extent cx="1435735" cy="1542415"/>
            <wp:effectExtent l="0" t="0" r="0" b="0"/>
            <wp:wrapNone/>
            <wp:docPr id="3" name="Image 3" descr="C:\Users\Spirit\Desktop\LOGO COMIFAC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Spirit\Desktop\LOGO COMIFAC fin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735" cy="1542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i-FI" w:eastAsia="fi-FI"/>
        </w:rPr>
        <mc:AlternateContent>
          <mc:Choice Requires="wps">
            <w:drawing>
              <wp:anchor distT="0" distB="0" distL="114300" distR="114300" simplePos="0" relativeHeight="251658240" behindDoc="0" locked="0" layoutInCell="1" allowOverlap="1" wp14:editId="55922E82">
                <wp:simplePos x="0" y="0"/>
                <wp:positionH relativeFrom="column">
                  <wp:posOffset>1197494</wp:posOffset>
                </wp:positionH>
                <wp:positionV relativeFrom="paragraph">
                  <wp:posOffset>106737</wp:posOffset>
                </wp:positionV>
                <wp:extent cx="5959475" cy="1003300"/>
                <wp:effectExtent l="1270" t="0" r="1905"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1003300"/>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79B" w:rsidRPr="00BB349A" w:rsidRDefault="009E379B" w:rsidP="009E379B">
                            <w:pPr>
                              <w:rPr>
                                <w:color w:val="014A21"/>
                                <w:sz w:val="36"/>
                                <w:szCs w:val="36"/>
                              </w:rPr>
                            </w:pPr>
                            <w:r w:rsidRPr="00BB349A">
                              <w:rPr>
                                <w:rFonts w:ascii="Arial Black" w:hAnsi="Arial Black" w:cs="Arial"/>
                                <w:color w:val="014A21"/>
                                <w:sz w:val="36"/>
                                <w:szCs w:val="36"/>
                              </w:rPr>
                              <w:t>Commission des Forêts d’Afrique Centrale</w:t>
                            </w:r>
                            <w:r w:rsidRPr="00BB349A">
                              <w:rPr>
                                <w:color w:val="014A21"/>
                                <w:sz w:val="36"/>
                                <w:szCs w:val="36"/>
                              </w:rPr>
                              <w:cr/>
                            </w:r>
                            <w:r w:rsidRPr="00BB349A">
                              <w:rPr>
                                <w:rFonts w:ascii="Utsaah" w:hAnsi="Utsaah" w:cs="Utsaah"/>
                                <w:i/>
                                <w:color w:val="014A21"/>
                                <w:sz w:val="36"/>
                                <w:szCs w:val="36"/>
                              </w:rPr>
                              <w:t xml:space="preserve">Une dimension régionale pour la conservation </w:t>
                            </w:r>
                            <w:r w:rsidRPr="00BB349A">
                              <w:rPr>
                                <w:rFonts w:ascii="Utsaah" w:hAnsi="Utsaah" w:cs="Utsaah"/>
                                <w:i/>
                                <w:color w:val="014A21"/>
                                <w:sz w:val="36"/>
                                <w:szCs w:val="36"/>
                              </w:rPr>
                              <w:cr/>
                              <w:t>et la gestion durable des écosystèmes forestiers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4.3pt;margin-top:8.4pt;width:469.25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" filled="f" fillcolor="#f2f2f2" stroked="f">
                <v:textbox>
                  <w:txbxContent>
                    <w:p w14:paraId="1D130C08" w14:textId="77777777" w:rsidR="009E379B" w:rsidRPr="00BB349A" w:rsidRDefault="009E379B" w:rsidP="009E379B">
                      <w:pPr>
                        <w:rPr>
                          <w:color w:val="014A21"/>
                          <w:sz w:val="36"/>
                          <w:szCs w:val="36"/>
                        </w:rPr>
                      </w:pPr>
                      <w:r w:rsidRPr="00BB349A">
                        <w:rPr>
                          <w:rFonts w:ascii="Arial Black" w:hAnsi="Arial Black" w:cs="Arial"/>
                          <w:color w:val="014A21"/>
                          <w:sz w:val="36"/>
                          <w:szCs w:val="36"/>
                        </w:rPr>
                        <w:t xml:space="preserve">Commission des </w:t>
                      </w:r>
                      <w:proofErr w:type="spellStart"/>
                      <w:r w:rsidRPr="00BB349A">
                        <w:rPr>
                          <w:rFonts w:ascii="Arial Black" w:hAnsi="Arial Black" w:cs="Arial"/>
                          <w:color w:val="014A21"/>
                          <w:sz w:val="36"/>
                          <w:szCs w:val="36"/>
                        </w:rPr>
                        <w:t>Forêts</w:t>
                      </w:r>
                      <w:proofErr w:type="spellEnd"/>
                      <w:r w:rsidRPr="00BB349A">
                        <w:rPr>
                          <w:rFonts w:ascii="Arial Black" w:hAnsi="Arial Black" w:cs="Arial"/>
                          <w:color w:val="014A21"/>
                          <w:sz w:val="36"/>
                          <w:szCs w:val="36"/>
                        </w:rPr>
                        <w:t xml:space="preserve"> </w:t>
                      </w:r>
                      <w:proofErr w:type="spellStart"/>
                      <w:r w:rsidRPr="00BB349A">
                        <w:rPr>
                          <w:rFonts w:ascii="Arial Black" w:hAnsi="Arial Black" w:cs="Arial"/>
                          <w:color w:val="014A21"/>
                          <w:sz w:val="36"/>
                          <w:szCs w:val="36"/>
                        </w:rPr>
                        <w:t>d’Afrique</w:t>
                      </w:r>
                      <w:proofErr w:type="spellEnd"/>
                      <w:r w:rsidRPr="00BB349A">
                        <w:rPr>
                          <w:rFonts w:ascii="Arial Black" w:hAnsi="Arial Black" w:cs="Arial"/>
                          <w:color w:val="014A21"/>
                          <w:sz w:val="36"/>
                          <w:szCs w:val="36"/>
                        </w:rPr>
                        <w:t xml:space="preserve"> Centrale</w:t>
                      </w:r>
                      <w:r w:rsidRPr="00BB349A">
                        <w:rPr>
                          <w:color w:val="014A21"/>
                          <w:sz w:val="36"/>
                          <w:szCs w:val="36"/>
                        </w:rPr>
                        <w:cr/>
                      </w:r>
                      <w:r w:rsidRPr="00BB349A">
                        <w:rPr>
                          <w:rFonts w:ascii="Utsaah" w:hAnsi="Utsaah" w:cs="Utsaah"/>
                          <w:i/>
                          <w:color w:val="014A21"/>
                          <w:sz w:val="36"/>
                          <w:szCs w:val="36"/>
                        </w:rPr>
                        <w:t xml:space="preserve">Une dimension régionale pour la conservation </w:t>
                      </w:r>
                      <w:r w:rsidRPr="00BB349A">
                        <w:rPr>
                          <w:rFonts w:ascii="Utsaah" w:hAnsi="Utsaah" w:cs="Utsaah"/>
                          <w:i/>
                          <w:color w:val="014A21"/>
                          <w:sz w:val="36"/>
                          <w:szCs w:val="36"/>
                        </w:rPr>
                        <w:cr/>
                        <w:t>et la gestion durable des écosystèmes forestiers</w:t>
                      </w:r>
                    </w:p>
                  </w:txbxContent>
                </v:textbox>
              </v:shape>
            </w:pict>
          </mc:Fallback>
        </mc:AlternateContent>
      </w:r>
    </w:p>
    <w:p w:rsidR="00035215" w:rsidRDefault="00035215" w:rsidP="00035215"/>
    <w:p w:rsidR="00035215" w:rsidRPr="004C325B" w:rsidRDefault="00035215" w:rsidP="00035215">
      <w:pPr>
        <w:rPr>
          <w:sz w:val="12"/>
        </w:rPr>
      </w:pPr>
    </w:p>
    <w:p w:rsidR="00E37E58" w:rsidRDefault="00E37E58" w:rsidP="00E24837">
      <w:pPr>
        <w:pStyle w:val="NoSpacing"/>
        <w:jc w:val="center"/>
        <w:rPr>
          <w:rFonts w:ascii="Cambria" w:hAnsi="Cambria"/>
          <w:b/>
          <w:bCs/>
          <w:caps/>
          <w:sz w:val="28"/>
          <w:szCs w:val="28"/>
          <w:lang w:val="fr-FR"/>
        </w:rPr>
      </w:pPr>
    </w:p>
    <w:p w:rsidR="00E37E58" w:rsidRDefault="00E37E58" w:rsidP="00E24837">
      <w:pPr>
        <w:pStyle w:val="NoSpacing"/>
        <w:jc w:val="center"/>
        <w:rPr>
          <w:rFonts w:ascii="Cambria" w:hAnsi="Cambria"/>
          <w:b/>
          <w:bCs/>
          <w:caps/>
          <w:sz w:val="28"/>
          <w:szCs w:val="28"/>
          <w:lang w:val="fr-FR"/>
        </w:rPr>
      </w:pPr>
    </w:p>
    <w:p w:rsidR="009E379B" w:rsidRPr="004C325B" w:rsidRDefault="009E379B" w:rsidP="009E379B">
      <w:pPr>
        <w:rPr>
          <w:sz w:val="12"/>
        </w:rPr>
      </w:pPr>
    </w:p>
    <w:p w:rsidR="009E379B" w:rsidRPr="004C325B" w:rsidRDefault="009E379B" w:rsidP="009E379B">
      <w:pPr>
        <w:pBdr>
          <w:top w:val="single" w:sz="4" w:space="1" w:color="auto"/>
        </w:pBdr>
        <w:rPr>
          <w:sz w:val="14"/>
        </w:rPr>
      </w:pPr>
    </w:p>
    <w:p w:rsidR="009E379B" w:rsidRDefault="009E379B" w:rsidP="009E379B">
      <w:pPr>
        <w:pStyle w:val="Header"/>
        <w:pBdr>
          <w:bottom w:val="single" w:sz="12" w:space="1" w:color="auto"/>
        </w:pBdr>
        <w:tabs>
          <w:tab w:val="clear" w:pos="4536"/>
          <w:tab w:val="clear" w:pos="9072"/>
          <w:tab w:val="left" w:pos="3064"/>
        </w:tabs>
      </w:pPr>
      <w:r>
        <w:rPr>
          <w:b/>
        </w:rPr>
        <w:t>CONSEIL DES MINISTRES</w:t>
      </w:r>
      <w:r>
        <w:tab/>
      </w:r>
      <w:r>
        <w:tab/>
        <w:t xml:space="preserve">                </w:t>
      </w:r>
      <w:r>
        <w:tab/>
      </w:r>
      <w:r>
        <w:tab/>
        <w:t xml:space="preserve">   COMIFAC/CM/co.extra/2016/doc.</w:t>
      </w:r>
      <w:r w:rsidR="00C87869">
        <w:t>B6b</w:t>
      </w:r>
    </w:p>
    <w:p w:rsidR="009E379B" w:rsidRDefault="009E379B" w:rsidP="009E379B">
      <w:pPr>
        <w:pStyle w:val="Header"/>
        <w:pBdr>
          <w:bottom w:val="single" w:sz="12" w:space="1" w:color="auto"/>
        </w:pBdr>
        <w:tabs>
          <w:tab w:val="clear" w:pos="4536"/>
          <w:tab w:val="clear" w:pos="9072"/>
          <w:tab w:val="left" w:pos="3064"/>
        </w:tabs>
      </w:pPr>
      <w:r>
        <w:tab/>
      </w:r>
      <w:r>
        <w:tab/>
      </w:r>
      <w:r>
        <w:tab/>
      </w:r>
      <w:r>
        <w:tab/>
        <w:t xml:space="preserve">                  </w:t>
      </w:r>
      <w:r w:rsidR="00D50E7E">
        <w:t>07 mai</w:t>
      </w:r>
      <w:r>
        <w:t xml:space="preserve"> 2016 </w:t>
      </w:r>
    </w:p>
    <w:p w:rsidR="009E379B" w:rsidRDefault="009E379B" w:rsidP="009E379B">
      <w:pPr>
        <w:pStyle w:val="Header"/>
        <w:tabs>
          <w:tab w:val="clear" w:pos="4536"/>
          <w:tab w:val="clear" w:pos="9072"/>
        </w:tabs>
      </w:pPr>
      <w:r>
        <w:t xml:space="preserve">Session extraordinaire </w:t>
      </w:r>
    </w:p>
    <w:p w:rsidR="009E379B" w:rsidRDefault="009E379B" w:rsidP="009B2191">
      <w:pPr>
        <w:pStyle w:val="Header"/>
        <w:tabs>
          <w:tab w:val="clear" w:pos="4536"/>
          <w:tab w:val="clear" w:pos="9072"/>
          <w:tab w:val="left" w:pos="6870"/>
        </w:tabs>
      </w:pPr>
      <w:r>
        <w:t>Point B</w:t>
      </w:r>
      <w:r w:rsidR="00C87869">
        <w:t>-6b</w:t>
      </w:r>
      <w:r>
        <w:t xml:space="preserve"> </w:t>
      </w:r>
      <w:r w:rsidR="009B2191">
        <w:tab/>
      </w:r>
    </w:p>
    <w:p w:rsidR="009E379B" w:rsidRDefault="009E379B" w:rsidP="009E379B">
      <w:pPr>
        <w:pStyle w:val="Header"/>
        <w:tabs>
          <w:tab w:val="clear" w:pos="4536"/>
          <w:tab w:val="clear" w:pos="9072"/>
        </w:tabs>
      </w:pPr>
      <w:r>
        <w:t xml:space="preserve">Kinshasa, 10-12 Mai 2016 </w:t>
      </w:r>
    </w:p>
    <w:p w:rsidR="00E37E58" w:rsidRDefault="00E37E58" w:rsidP="009E379B">
      <w:pPr>
        <w:pStyle w:val="NoSpacing"/>
        <w:tabs>
          <w:tab w:val="left" w:pos="458"/>
        </w:tabs>
        <w:rPr>
          <w:rFonts w:ascii="Cambria" w:hAnsi="Cambria"/>
          <w:b/>
          <w:bCs/>
          <w:caps/>
          <w:sz w:val="28"/>
          <w:szCs w:val="28"/>
          <w:lang w:val="fr-FR"/>
        </w:rPr>
      </w:pPr>
    </w:p>
    <w:p w:rsidR="00E37E58" w:rsidRDefault="00E37E58" w:rsidP="00E24837">
      <w:pPr>
        <w:pStyle w:val="NoSpacing"/>
        <w:jc w:val="center"/>
        <w:rPr>
          <w:rFonts w:ascii="Cambria" w:hAnsi="Cambria"/>
          <w:b/>
          <w:bCs/>
          <w:caps/>
          <w:sz w:val="28"/>
          <w:szCs w:val="28"/>
          <w:lang w:val="fr-FR"/>
        </w:rPr>
      </w:pPr>
    </w:p>
    <w:p w:rsidR="009E379B" w:rsidRDefault="009E379B" w:rsidP="00E24837">
      <w:pPr>
        <w:pStyle w:val="NoSpacing"/>
        <w:jc w:val="center"/>
        <w:rPr>
          <w:rFonts w:ascii="Cambria" w:hAnsi="Cambria"/>
          <w:b/>
          <w:bCs/>
          <w:caps/>
          <w:sz w:val="28"/>
          <w:szCs w:val="28"/>
          <w:lang w:val="fr-FR"/>
        </w:rPr>
      </w:pPr>
    </w:p>
    <w:p w:rsidR="00A650A1" w:rsidRPr="0034541A" w:rsidRDefault="00C176F4" w:rsidP="00E24837">
      <w:pPr>
        <w:pStyle w:val="NoSpacing"/>
        <w:jc w:val="center"/>
        <w:rPr>
          <w:rFonts w:ascii="Cambria" w:hAnsi="Cambria"/>
          <w:b/>
          <w:bCs/>
          <w:caps/>
          <w:sz w:val="32"/>
          <w:szCs w:val="32"/>
          <w:lang w:val="fr-FR"/>
        </w:rPr>
      </w:pPr>
      <w:r w:rsidRPr="0034541A">
        <w:rPr>
          <w:rFonts w:ascii="Cambria" w:hAnsi="Cambria"/>
          <w:b/>
          <w:bCs/>
          <w:caps/>
          <w:sz w:val="32"/>
          <w:szCs w:val="32"/>
          <w:lang w:val="fr-FR"/>
        </w:rPr>
        <w:t>Analyse Des CPDN Des Pays d’Afrique Centrale</w:t>
      </w:r>
      <w:r w:rsidR="00C43549" w:rsidRPr="0034541A">
        <w:rPr>
          <w:rFonts w:ascii="Cambria" w:hAnsi="Cambria"/>
          <w:b/>
          <w:bCs/>
          <w:caps/>
          <w:sz w:val="32"/>
          <w:szCs w:val="32"/>
          <w:lang w:val="fr-FR"/>
        </w:rPr>
        <w:t xml:space="preserve"> et perspectives de mise en œuvre </w:t>
      </w:r>
    </w:p>
    <w:p w:rsidR="00A650A1" w:rsidRDefault="00A650A1" w:rsidP="00973589">
      <w:pPr>
        <w:pStyle w:val="NoSpacing"/>
        <w:rPr>
          <w:rFonts w:ascii="Cambria" w:hAnsi="Cambria"/>
          <w:lang w:val="fr-FR"/>
        </w:rPr>
      </w:pPr>
    </w:p>
    <w:p w:rsidR="0071784A" w:rsidRPr="00C87D6F" w:rsidRDefault="0071784A" w:rsidP="00973589">
      <w:pPr>
        <w:pStyle w:val="NoSpacing"/>
        <w:rPr>
          <w:rFonts w:ascii="Cambria" w:hAnsi="Cambria"/>
          <w:lang w:val="fr-FR"/>
        </w:rPr>
      </w:pPr>
    </w:p>
    <w:p w:rsidR="001F4BB4" w:rsidRPr="00C87D6F" w:rsidRDefault="00C47BF1" w:rsidP="00973589">
      <w:pPr>
        <w:jc w:val="center"/>
        <w:rPr>
          <w:rFonts w:ascii="Cambria" w:hAnsi="Cambria"/>
          <w:b/>
          <w:bCs/>
          <w:sz w:val="28"/>
          <w:szCs w:val="28"/>
          <w:lang w:val="fr-FR"/>
        </w:rPr>
      </w:pPr>
      <w:r w:rsidRPr="00C87D6F">
        <w:rPr>
          <w:rFonts w:ascii="Cambria" w:hAnsi="Cambria"/>
          <w:b/>
          <w:bCs/>
          <w:sz w:val="28"/>
          <w:szCs w:val="28"/>
          <w:lang w:val="fr-FR"/>
        </w:rPr>
        <w:t>NOTE DU SECRETARIAT</w:t>
      </w:r>
    </w:p>
    <w:p w:rsidR="00C176F4" w:rsidRDefault="00C176F4" w:rsidP="00C176F4">
      <w:pPr>
        <w:spacing w:after="0" w:line="240" w:lineRule="auto"/>
        <w:jc w:val="both"/>
        <w:rPr>
          <w:rFonts w:ascii="Cambria" w:eastAsia="Times New Roman" w:hAnsi="Cambria" w:cs="Times New Roman"/>
          <w:sz w:val="24"/>
          <w:szCs w:val="24"/>
          <w:lang w:val="fr-FR" w:eastAsia="fr-FR"/>
        </w:rPr>
      </w:pPr>
    </w:p>
    <w:p w:rsidR="00C43549" w:rsidRPr="0075793F" w:rsidRDefault="00C43549" w:rsidP="00C43549">
      <w:pPr>
        <w:pStyle w:val="ListParagraph"/>
        <w:numPr>
          <w:ilvl w:val="0"/>
          <w:numId w:val="6"/>
        </w:numPr>
        <w:spacing w:after="0" w:line="240" w:lineRule="auto"/>
        <w:jc w:val="both"/>
        <w:rPr>
          <w:rFonts w:ascii="Cambria" w:eastAsia="Times New Roman" w:hAnsi="Cambria" w:cs="Times New Roman"/>
          <w:b/>
          <w:lang w:val="fr-FR" w:eastAsia="fr-FR"/>
        </w:rPr>
      </w:pPr>
      <w:r w:rsidRPr="0075793F">
        <w:rPr>
          <w:rFonts w:ascii="Cambria" w:eastAsia="Times New Roman" w:hAnsi="Cambria" w:cs="Times New Roman"/>
          <w:b/>
          <w:lang w:val="fr-FR" w:eastAsia="fr-FR"/>
        </w:rPr>
        <w:t xml:space="preserve">Contexte </w:t>
      </w:r>
    </w:p>
    <w:p w:rsidR="00C43549" w:rsidRPr="0075793F" w:rsidRDefault="00C43549" w:rsidP="00C43549">
      <w:pPr>
        <w:pStyle w:val="ListParagraph"/>
        <w:spacing w:after="0" w:line="240" w:lineRule="auto"/>
        <w:jc w:val="both"/>
        <w:rPr>
          <w:rFonts w:ascii="Cambria" w:eastAsia="Times New Roman" w:hAnsi="Cambria" w:cs="Times New Roman"/>
          <w:lang w:val="fr-FR" w:eastAsia="fr-FR"/>
        </w:rPr>
      </w:pPr>
    </w:p>
    <w:p w:rsidR="00C43549" w:rsidRPr="0075793F" w:rsidRDefault="00E457F3" w:rsidP="00C176F4">
      <w:pPr>
        <w:spacing w:after="0" w:line="240" w:lineRule="auto"/>
        <w:jc w:val="both"/>
        <w:rPr>
          <w:rFonts w:ascii="Cambria" w:eastAsia="Times New Roman" w:hAnsi="Cambria" w:cs="Times New Roman"/>
          <w:lang w:val="fr-FR" w:eastAsia="fr-FR"/>
        </w:rPr>
      </w:pPr>
      <w:r w:rsidRPr="0075793F">
        <w:rPr>
          <w:rFonts w:ascii="Cambria" w:eastAsia="Times New Roman" w:hAnsi="Cambria" w:cs="Times New Roman"/>
          <w:lang w:val="fr-FR" w:eastAsia="fr-FR"/>
        </w:rPr>
        <w:t xml:space="preserve">Les contributions prévues déterminées au niveau national (CPDN) </w:t>
      </w:r>
      <w:r w:rsidR="00C43549" w:rsidRPr="0075793F">
        <w:rPr>
          <w:rFonts w:ascii="Cambria" w:eastAsia="Times New Roman" w:hAnsi="Cambria" w:cs="Times New Roman"/>
          <w:lang w:val="fr-FR" w:eastAsia="fr-FR"/>
        </w:rPr>
        <w:t>constituent</w:t>
      </w:r>
      <w:r w:rsidRPr="0075793F">
        <w:rPr>
          <w:rFonts w:ascii="Cambria" w:eastAsia="Times New Roman" w:hAnsi="Cambria" w:cs="Times New Roman"/>
          <w:lang w:val="fr-FR" w:eastAsia="fr-FR"/>
        </w:rPr>
        <w:t xml:space="preserve"> un des</w:t>
      </w:r>
      <w:r w:rsidR="00C43549" w:rsidRPr="0075793F">
        <w:rPr>
          <w:rFonts w:ascii="Cambria" w:eastAsia="Times New Roman" w:hAnsi="Cambria" w:cs="Times New Roman"/>
          <w:lang w:val="fr-FR" w:eastAsia="fr-FR"/>
        </w:rPr>
        <w:t xml:space="preserve"> éléments les plus importants de</w:t>
      </w:r>
      <w:r w:rsidRPr="0075793F">
        <w:rPr>
          <w:rFonts w:ascii="Cambria" w:eastAsia="Times New Roman" w:hAnsi="Cambria" w:cs="Times New Roman"/>
          <w:lang w:val="fr-FR" w:eastAsia="fr-FR"/>
        </w:rPr>
        <w:t xml:space="preserve"> l’accord climat de Paris. </w:t>
      </w:r>
      <w:r w:rsidR="00C43549" w:rsidRPr="0075793F">
        <w:rPr>
          <w:rFonts w:ascii="Cambria" w:eastAsia="Times New Roman" w:hAnsi="Cambria" w:cs="Times New Roman"/>
          <w:lang w:val="fr-FR" w:eastAsia="fr-FR"/>
        </w:rPr>
        <w:t>En effet, la 19</w:t>
      </w:r>
      <w:r w:rsidR="00C43549" w:rsidRPr="0075793F">
        <w:rPr>
          <w:rFonts w:ascii="Cambria" w:eastAsia="Times New Roman" w:hAnsi="Cambria" w:cs="Times New Roman"/>
          <w:vertAlign w:val="superscript"/>
          <w:lang w:val="fr-FR" w:eastAsia="fr-FR"/>
        </w:rPr>
        <w:t>ème</w:t>
      </w:r>
      <w:r w:rsidR="00C43549" w:rsidRPr="0075793F">
        <w:rPr>
          <w:rFonts w:ascii="Cambria" w:eastAsia="Times New Roman" w:hAnsi="Cambria" w:cs="Times New Roman"/>
          <w:lang w:val="fr-FR" w:eastAsia="fr-FR"/>
        </w:rPr>
        <w:t xml:space="preserve"> Conférence des Parties à la Convention (CdP-19) à Varsovie (Pologne) </w:t>
      </w:r>
      <w:r w:rsidR="00A2215F" w:rsidRPr="0075793F">
        <w:rPr>
          <w:rFonts w:ascii="Cambria" w:eastAsia="Times New Roman" w:hAnsi="Cambria" w:cs="Times New Roman"/>
          <w:lang w:val="fr-FR" w:eastAsia="fr-FR"/>
        </w:rPr>
        <w:t>en décembre 2013</w:t>
      </w:r>
      <w:r w:rsidR="00C43549" w:rsidRPr="0075793F">
        <w:rPr>
          <w:rFonts w:ascii="Cambria" w:eastAsia="Times New Roman" w:hAnsi="Cambria" w:cs="Times New Roman"/>
          <w:lang w:val="fr-FR" w:eastAsia="fr-FR"/>
        </w:rPr>
        <w:t xml:space="preserve"> a invité les Parties à préparer et soumettre au Secrétariat de la Convention leurs contribution</w:t>
      </w:r>
      <w:r w:rsidR="00A2215F" w:rsidRPr="0075793F">
        <w:rPr>
          <w:rFonts w:ascii="Cambria" w:eastAsia="Times New Roman" w:hAnsi="Cambria" w:cs="Times New Roman"/>
          <w:lang w:val="fr-FR" w:eastAsia="fr-FR"/>
        </w:rPr>
        <w:t>s</w:t>
      </w:r>
      <w:r w:rsidR="00C43549" w:rsidRPr="0075793F">
        <w:rPr>
          <w:rFonts w:ascii="Cambria" w:eastAsia="Times New Roman" w:hAnsi="Cambria" w:cs="Times New Roman"/>
          <w:lang w:val="fr-FR" w:eastAsia="fr-FR"/>
        </w:rPr>
        <w:t xml:space="preserve"> pour l’</w:t>
      </w:r>
      <w:r w:rsidR="00A2215F" w:rsidRPr="0075793F">
        <w:rPr>
          <w:rFonts w:ascii="Cambria" w:eastAsia="Times New Roman" w:hAnsi="Cambria" w:cs="Times New Roman"/>
          <w:lang w:val="fr-FR" w:eastAsia="fr-FR"/>
        </w:rPr>
        <w:t>atteinte de l’objectif ultime</w:t>
      </w:r>
      <w:r w:rsidR="00C43549" w:rsidRPr="0075793F">
        <w:rPr>
          <w:rFonts w:ascii="Cambria" w:eastAsia="Times New Roman" w:hAnsi="Cambria" w:cs="Times New Roman"/>
          <w:lang w:val="fr-FR" w:eastAsia="fr-FR"/>
        </w:rPr>
        <w:t xml:space="preserve"> de la convention (article 2). </w:t>
      </w:r>
      <w:r w:rsidR="00A2215F" w:rsidRPr="0075793F">
        <w:rPr>
          <w:rFonts w:ascii="Cambria" w:eastAsia="Times New Roman" w:hAnsi="Cambria" w:cs="Times New Roman"/>
          <w:lang w:val="fr-FR" w:eastAsia="fr-FR"/>
        </w:rPr>
        <w:t xml:space="preserve">La CdP-14 de Lima (Perou) a réitéré cette décision en invitant les Parties à communiquer leurs CPDN au premier trimestre 2015, </w:t>
      </w:r>
      <w:r w:rsidR="00DB485F" w:rsidRPr="0075793F">
        <w:rPr>
          <w:rFonts w:ascii="Cambria" w:eastAsia="Times New Roman" w:hAnsi="Cambria" w:cs="Times New Roman"/>
          <w:lang w:val="fr-FR" w:eastAsia="fr-FR"/>
        </w:rPr>
        <w:t xml:space="preserve">avant la CdP-21 de Paris, </w:t>
      </w:r>
      <w:r w:rsidR="00A2215F" w:rsidRPr="0075793F">
        <w:rPr>
          <w:rFonts w:ascii="Cambria" w:eastAsia="Times New Roman" w:hAnsi="Cambria" w:cs="Times New Roman"/>
          <w:lang w:val="fr-FR" w:eastAsia="fr-FR"/>
        </w:rPr>
        <w:t xml:space="preserve">pour permettre de comptabiliser tous les efforts des pays </w:t>
      </w:r>
      <w:r w:rsidR="00DB485F" w:rsidRPr="0075793F">
        <w:rPr>
          <w:rFonts w:ascii="Cambria" w:eastAsia="Times New Roman" w:hAnsi="Cambria" w:cs="Times New Roman"/>
          <w:lang w:val="fr-FR" w:eastAsia="fr-FR"/>
        </w:rPr>
        <w:t>et déterminer si ces efforts seraient suffisants pour l’atteinte de l’objectif de la convention (article 2). Ensuite, compte tenu du retard observé dans la préparation des pays, un délai supplémentaire de soumission des CPDN a été accordé aux Parties jusqu’au 1</w:t>
      </w:r>
      <w:r w:rsidR="00DB485F" w:rsidRPr="0075793F">
        <w:rPr>
          <w:rFonts w:ascii="Cambria" w:eastAsia="Times New Roman" w:hAnsi="Cambria" w:cs="Times New Roman"/>
          <w:vertAlign w:val="superscript"/>
          <w:lang w:val="fr-FR" w:eastAsia="fr-FR"/>
        </w:rPr>
        <w:t>er</w:t>
      </w:r>
      <w:r w:rsidR="00DB485F" w:rsidRPr="0075793F">
        <w:rPr>
          <w:rFonts w:ascii="Cambria" w:eastAsia="Times New Roman" w:hAnsi="Cambria" w:cs="Times New Roman"/>
          <w:lang w:val="fr-FR" w:eastAsia="fr-FR"/>
        </w:rPr>
        <w:t xml:space="preserve"> octobre 2015.  </w:t>
      </w:r>
    </w:p>
    <w:p w:rsidR="00C43549" w:rsidRPr="0075793F" w:rsidRDefault="00E457F3" w:rsidP="00C176F4">
      <w:pPr>
        <w:spacing w:after="0" w:line="240" w:lineRule="auto"/>
        <w:jc w:val="both"/>
        <w:rPr>
          <w:rFonts w:ascii="Cambria" w:eastAsia="Times New Roman" w:hAnsi="Cambria" w:cs="Times New Roman"/>
          <w:lang w:val="fr-FR" w:eastAsia="fr-FR"/>
        </w:rPr>
      </w:pPr>
      <w:r w:rsidRPr="0075793F">
        <w:rPr>
          <w:rFonts w:ascii="Cambria" w:eastAsia="Times New Roman" w:hAnsi="Cambria" w:cs="Times New Roman"/>
          <w:lang w:val="fr-FR" w:eastAsia="fr-FR"/>
        </w:rPr>
        <w:t xml:space="preserve"> </w:t>
      </w:r>
    </w:p>
    <w:p w:rsidR="00E457F3" w:rsidRPr="0075793F" w:rsidRDefault="00C176F4" w:rsidP="00C176F4">
      <w:pPr>
        <w:spacing w:after="0" w:line="240" w:lineRule="auto"/>
        <w:jc w:val="both"/>
        <w:rPr>
          <w:lang w:val="fr-FR"/>
        </w:rPr>
      </w:pPr>
      <w:r w:rsidRPr="0075793F">
        <w:rPr>
          <w:rFonts w:ascii="Cambria" w:eastAsia="Times New Roman" w:hAnsi="Cambria" w:cs="Times New Roman"/>
          <w:lang w:val="fr-FR" w:eastAsia="fr-FR"/>
        </w:rPr>
        <w:t xml:space="preserve">Les </w:t>
      </w:r>
      <w:r w:rsidR="00E457F3" w:rsidRPr="0075793F">
        <w:rPr>
          <w:rFonts w:ascii="Cambria" w:eastAsia="Times New Roman" w:hAnsi="Cambria" w:cs="Times New Roman"/>
          <w:lang w:val="fr-FR" w:eastAsia="fr-FR"/>
        </w:rPr>
        <w:t>CPDN</w:t>
      </w:r>
      <w:r w:rsidRPr="0075793F">
        <w:rPr>
          <w:rFonts w:ascii="Cambria" w:eastAsia="Times New Roman" w:hAnsi="Cambria" w:cs="Times New Roman"/>
          <w:lang w:val="fr-FR" w:eastAsia="fr-FR"/>
        </w:rPr>
        <w:t xml:space="preserve"> présente</w:t>
      </w:r>
      <w:r w:rsidR="00C43549" w:rsidRPr="0075793F">
        <w:rPr>
          <w:rFonts w:ascii="Cambria" w:eastAsia="Times New Roman" w:hAnsi="Cambria" w:cs="Times New Roman"/>
          <w:lang w:val="fr-FR" w:eastAsia="fr-FR"/>
        </w:rPr>
        <w:t>nt</w:t>
      </w:r>
      <w:r w:rsidRPr="0075793F">
        <w:rPr>
          <w:rFonts w:ascii="Cambria" w:eastAsia="Times New Roman" w:hAnsi="Cambria" w:cs="Times New Roman"/>
          <w:lang w:val="fr-FR" w:eastAsia="fr-FR"/>
        </w:rPr>
        <w:t xml:space="preserve"> une synthèse de la vision de développement national, des stratégies, des politiques et des actions concernant </w:t>
      </w:r>
      <w:r w:rsidR="00C43549" w:rsidRPr="0075793F">
        <w:rPr>
          <w:rFonts w:ascii="Cambria" w:eastAsia="Times New Roman" w:hAnsi="Cambria" w:cs="Times New Roman"/>
          <w:lang w:val="fr-FR" w:eastAsia="fr-FR"/>
        </w:rPr>
        <w:t xml:space="preserve">la lutte contre </w:t>
      </w:r>
      <w:r w:rsidRPr="0075793F">
        <w:rPr>
          <w:rFonts w:ascii="Cambria" w:eastAsia="Times New Roman" w:hAnsi="Cambria" w:cs="Times New Roman"/>
          <w:lang w:val="fr-FR" w:eastAsia="fr-FR"/>
        </w:rPr>
        <w:t>le changement climatique. Le processus CPDN a introduit de nouvelles perspectives dans les négociations internationales sur le climat.</w:t>
      </w:r>
      <w:r w:rsidR="00E457F3" w:rsidRPr="0075793F">
        <w:rPr>
          <w:lang w:val="fr-FR"/>
        </w:rPr>
        <w:t xml:space="preserve"> </w:t>
      </w:r>
    </w:p>
    <w:p w:rsidR="00E457F3" w:rsidRPr="0075793F" w:rsidRDefault="00E457F3" w:rsidP="00C176F4">
      <w:pPr>
        <w:spacing w:after="0" w:line="240" w:lineRule="auto"/>
        <w:jc w:val="both"/>
        <w:rPr>
          <w:lang w:val="fr-FR"/>
        </w:rPr>
      </w:pPr>
    </w:p>
    <w:p w:rsidR="00C176F4" w:rsidRPr="0075793F" w:rsidRDefault="00E457F3" w:rsidP="00C176F4">
      <w:pPr>
        <w:spacing w:after="0" w:line="240" w:lineRule="auto"/>
        <w:jc w:val="both"/>
        <w:rPr>
          <w:rFonts w:ascii="Cambria" w:eastAsia="Times New Roman" w:hAnsi="Cambria" w:cs="Times New Roman"/>
          <w:lang w:val="fr-FR" w:eastAsia="fr-FR"/>
        </w:rPr>
      </w:pPr>
      <w:r w:rsidRPr="0075793F">
        <w:rPr>
          <w:rFonts w:ascii="Cambria" w:eastAsia="Times New Roman" w:hAnsi="Cambria" w:cs="Times New Roman"/>
          <w:lang w:val="fr-FR" w:eastAsia="fr-FR"/>
        </w:rPr>
        <w:t xml:space="preserve">Les CPDN sont encore loin de constituer de véritables programmes politiques cohérents d’atténuation et d’adaptation. La multiplicité et le caractère hétérogène des engagements pris par les pays laissent entière la question de l’organisation effective de politiques qui soient à même de mettre en œuvre ces engagements. </w:t>
      </w:r>
    </w:p>
    <w:p w:rsidR="00C176F4" w:rsidRDefault="00C176F4" w:rsidP="00C176F4">
      <w:pPr>
        <w:spacing w:after="0" w:line="240" w:lineRule="auto"/>
        <w:jc w:val="both"/>
        <w:rPr>
          <w:rFonts w:ascii="Cambria" w:eastAsia="Times New Roman" w:hAnsi="Cambria" w:cs="Times New Roman"/>
          <w:lang w:val="fr-FR" w:eastAsia="fr-FR"/>
        </w:rPr>
      </w:pPr>
    </w:p>
    <w:p w:rsidR="0075793F" w:rsidRPr="0075793F" w:rsidRDefault="0075793F" w:rsidP="00C176F4">
      <w:pPr>
        <w:spacing w:after="0" w:line="240" w:lineRule="auto"/>
        <w:jc w:val="both"/>
        <w:rPr>
          <w:rFonts w:ascii="Cambria" w:eastAsia="Times New Roman" w:hAnsi="Cambria" w:cs="Times New Roman"/>
          <w:lang w:val="fr-FR" w:eastAsia="fr-FR"/>
        </w:rPr>
      </w:pPr>
    </w:p>
    <w:p w:rsidR="00C176F4" w:rsidRPr="0075793F" w:rsidRDefault="00DB485F" w:rsidP="00DB485F">
      <w:pPr>
        <w:pStyle w:val="ListParagraph"/>
        <w:numPr>
          <w:ilvl w:val="0"/>
          <w:numId w:val="6"/>
        </w:numPr>
        <w:spacing w:after="0" w:line="240" w:lineRule="auto"/>
        <w:jc w:val="both"/>
        <w:rPr>
          <w:rFonts w:ascii="Cambria" w:eastAsia="Times New Roman" w:hAnsi="Cambria" w:cs="Times New Roman"/>
          <w:b/>
          <w:lang w:val="fr-FR" w:eastAsia="fr-FR"/>
        </w:rPr>
      </w:pPr>
      <w:r w:rsidRPr="0075793F">
        <w:rPr>
          <w:rFonts w:ascii="Cambria" w:eastAsia="Times New Roman" w:hAnsi="Cambria" w:cs="Times New Roman"/>
          <w:b/>
          <w:lang w:val="fr-FR" w:eastAsia="fr-FR"/>
        </w:rPr>
        <w:t>Analyse d</w:t>
      </w:r>
      <w:r w:rsidR="0071784A" w:rsidRPr="0075793F">
        <w:rPr>
          <w:rFonts w:ascii="Cambria" w:eastAsia="Times New Roman" w:hAnsi="Cambria" w:cs="Times New Roman"/>
          <w:b/>
          <w:lang w:val="fr-FR" w:eastAsia="fr-FR"/>
        </w:rPr>
        <w:t>es CPDNs soumis par des pays d’Afrique Centrale</w:t>
      </w:r>
    </w:p>
    <w:p w:rsidR="0071784A" w:rsidRPr="0075793F" w:rsidRDefault="0071784A" w:rsidP="00C176F4">
      <w:pPr>
        <w:spacing w:after="0" w:line="240" w:lineRule="auto"/>
        <w:jc w:val="both"/>
        <w:rPr>
          <w:rFonts w:ascii="Cambria" w:eastAsia="Times New Roman" w:hAnsi="Cambria" w:cs="Times New Roman"/>
          <w:lang w:val="fr-FR" w:eastAsia="fr-FR"/>
        </w:rPr>
      </w:pPr>
    </w:p>
    <w:p w:rsidR="006A6400" w:rsidRPr="0075793F" w:rsidRDefault="00DB485F" w:rsidP="00C176F4">
      <w:pPr>
        <w:spacing w:after="0" w:line="240" w:lineRule="auto"/>
        <w:jc w:val="both"/>
        <w:rPr>
          <w:rFonts w:ascii="Cambria" w:eastAsia="Times New Roman" w:hAnsi="Cambria" w:cs="Times New Roman"/>
          <w:lang w:val="fr-FR" w:eastAsia="fr-FR"/>
        </w:rPr>
      </w:pPr>
      <w:r w:rsidRPr="0075793F">
        <w:rPr>
          <w:rFonts w:ascii="Cambria" w:eastAsia="Times New Roman" w:hAnsi="Cambria" w:cs="Times New Roman"/>
          <w:lang w:val="fr-FR" w:eastAsia="fr-FR"/>
        </w:rPr>
        <w:t>Tous les pays membres de la COMIFAC ont soumis leurs CPDN à l’échéance du 1</w:t>
      </w:r>
      <w:r w:rsidRPr="0075793F">
        <w:rPr>
          <w:rFonts w:ascii="Cambria" w:eastAsia="Times New Roman" w:hAnsi="Cambria" w:cs="Times New Roman"/>
          <w:vertAlign w:val="superscript"/>
          <w:lang w:val="fr-FR" w:eastAsia="fr-FR"/>
        </w:rPr>
        <w:t>er</w:t>
      </w:r>
      <w:r w:rsidRPr="0075793F">
        <w:rPr>
          <w:rFonts w:ascii="Cambria" w:eastAsia="Times New Roman" w:hAnsi="Cambria" w:cs="Times New Roman"/>
          <w:lang w:val="fr-FR" w:eastAsia="fr-FR"/>
        </w:rPr>
        <w:t xml:space="preserve"> octobre 2015. </w:t>
      </w:r>
      <w:r w:rsidR="0071784A" w:rsidRPr="0075793F">
        <w:rPr>
          <w:rFonts w:ascii="Cambria" w:eastAsia="Times New Roman" w:hAnsi="Cambria" w:cs="Times New Roman"/>
          <w:lang w:val="fr-FR" w:eastAsia="fr-FR"/>
        </w:rPr>
        <w:t xml:space="preserve">Les documents </w:t>
      </w:r>
      <w:r w:rsidRPr="0075793F">
        <w:rPr>
          <w:rFonts w:ascii="Cambria" w:eastAsia="Times New Roman" w:hAnsi="Cambria" w:cs="Times New Roman"/>
          <w:lang w:val="fr-FR" w:eastAsia="fr-FR"/>
        </w:rPr>
        <w:t xml:space="preserve">des </w:t>
      </w:r>
      <w:r w:rsidR="0071784A" w:rsidRPr="0075793F">
        <w:rPr>
          <w:rFonts w:ascii="Cambria" w:eastAsia="Times New Roman" w:hAnsi="Cambria" w:cs="Times New Roman"/>
          <w:lang w:val="fr-FR" w:eastAsia="fr-FR"/>
        </w:rPr>
        <w:t xml:space="preserve">CPDN montrent que les pays d'Afrique Centrale </w:t>
      </w:r>
      <w:r w:rsidR="00C176F4" w:rsidRPr="0075793F">
        <w:rPr>
          <w:rFonts w:ascii="Cambria" w:eastAsia="Times New Roman" w:hAnsi="Cambria" w:cs="Times New Roman"/>
          <w:lang w:val="fr-FR" w:eastAsia="fr-FR"/>
        </w:rPr>
        <w:t xml:space="preserve">ont adopté une approche équilibrée dans leurs contributions </w:t>
      </w:r>
      <w:r w:rsidRPr="0075793F">
        <w:rPr>
          <w:rFonts w:ascii="Cambria" w:eastAsia="Times New Roman" w:hAnsi="Cambria" w:cs="Times New Roman"/>
          <w:lang w:val="fr-FR" w:eastAsia="fr-FR"/>
        </w:rPr>
        <w:t>tant au niveau de l</w:t>
      </w:r>
      <w:r w:rsidR="00C176F4" w:rsidRPr="0075793F">
        <w:rPr>
          <w:rFonts w:ascii="Cambria" w:eastAsia="Times New Roman" w:hAnsi="Cambria" w:cs="Times New Roman"/>
          <w:lang w:val="fr-FR" w:eastAsia="fr-FR"/>
        </w:rPr>
        <w:t xml:space="preserve">'adaptation et </w:t>
      </w:r>
      <w:r w:rsidRPr="0075793F">
        <w:rPr>
          <w:rFonts w:ascii="Cambria" w:eastAsia="Times New Roman" w:hAnsi="Cambria" w:cs="Times New Roman"/>
          <w:lang w:val="fr-FR" w:eastAsia="fr-FR"/>
        </w:rPr>
        <w:t>qu’au niveau de l</w:t>
      </w:r>
      <w:r w:rsidR="00C176F4" w:rsidRPr="0075793F">
        <w:rPr>
          <w:rFonts w:ascii="Cambria" w:eastAsia="Times New Roman" w:hAnsi="Cambria" w:cs="Times New Roman"/>
          <w:lang w:val="fr-FR" w:eastAsia="fr-FR"/>
        </w:rPr>
        <w:t>'atténuation.</w:t>
      </w:r>
      <w:r w:rsidR="0071784A" w:rsidRPr="0075793F">
        <w:rPr>
          <w:rFonts w:ascii="Cambria" w:eastAsia="Times New Roman" w:hAnsi="Cambria" w:cs="Times New Roman"/>
          <w:lang w:val="fr-FR" w:eastAsia="fr-FR"/>
        </w:rPr>
        <w:t xml:space="preserve"> </w:t>
      </w:r>
    </w:p>
    <w:p w:rsidR="006A6400" w:rsidRPr="0075793F" w:rsidRDefault="006A6400" w:rsidP="00C176F4">
      <w:pPr>
        <w:spacing w:after="0" w:line="240" w:lineRule="auto"/>
        <w:jc w:val="both"/>
        <w:rPr>
          <w:rFonts w:ascii="Cambria" w:eastAsia="Times New Roman" w:hAnsi="Cambria" w:cs="Times New Roman"/>
          <w:lang w:val="fr-FR" w:eastAsia="fr-FR"/>
        </w:rPr>
      </w:pPr>
    </w:p>
    <w:p w:rsidR="00C176F4" w:rsidRPr="0075793F" w:rsidRDefault="006A6400" w:rsidP="00C176F4">
      <w:pPr>
        <w:spacing w:after="0" w:line="240" w:lineRule="auto"/>
        <w:jc w:val="both"/>
        <w:rPr>
          <w:rFonts w:ascii="Cambria" w:eastAsia="Times New Roman" w:hAnsi="Cambria" w:cs="Times New Roman"/>
          <w:lang w:val="fr-FR" w:eastAsia="fr-FR"/>
        </w:rPr>
      </w:pPr>
      <w:r w:rsidRPr="0075793F">
        <w:rPr>
          <w:rFonts w:ascii="Cambria" w:eastAsia="Times New Roman" w:hAnsi="Cambria" w:cs="Times New Roman"/>
          <w:lang w:val="fr-FR" w:eastAsia="fr-FR"/>
        </w:rPr>
        <w:t>Des CPDN des pays de la sous-région, il ressort que l</w:t>
      </w:r>
      <w:r w:rsidR="0071784A" w:rsidRPr="0075793F">
        <w:rPr>
          <w:rFonts w:ascii="Cambria" w:eastAsia="Times New Roman" w:hAnsi="Cambria" w:cs="Times New Roman"/>
          <w:lang w:val="fr-FR" w:eastAsia="fr-FR"/>
        </w:rPr>
        <w:t>e</w:t>
      </w:r>
      <w:r w:rsidR="00C176F4" w:rsidRPr="0075793F">
        <w:rPr>
          <w:rFonts w:ascii="Cambria" w:eastAsia="Times New Roman" w:hAnsi="Cambria" w:cs="Times New Roman"/>
          <w:lang w:val="fr-FR" w:eastAsia="fr-FR"/>
        </w:rPr>
        <w:t xml:space="preserve"> secteur forestier est le plus important pour les contributions d</w:t>
      </w:r>
      <w:r w:rsidRPr="0075793F">
        <w:rPr>
          <w:rFonts w:ascii="Cambria" w:eastAsia="Times New Roman" w:hAnsi="Cambria" w:cs="Times New Roman"/>
          <w:lang w:val="fr-FR" w:eastAsia="fr-FR"/>
        </w:rPr>
        <w:t>ans l</w:t>
      </w:r>
      <w:r w:rsidR="00C176F4" w:rsidRPr="0075793F">
        <w:rPr>
          <w:rFonts w:ascii="Cambria" w:eastAsia="Times New Roman" w:hAnsi="Cambria" w:cs="Times New Roman"/>
          <w:lang w:val="fr-FR" w:eastAsia="fr-FR"/>
        </w:rPr>
        <w:t xml:space="preserve">'adaptation et </w:t>
      </w:r>
      <w:r w:rsidRPr="0075793F">
        <w:rPr>
          <w:rFonts w:ascii="Cambria" w:eastAsia="Times New Roman" w:hAnsi="Cambria" w:cs="Times New Roman"/>
          <w:lang w:val="fr-FR" w:eastAsia="fr-FR"/>
        </w:rPr>
        <w:t>l</w:t>
      </w:r>
      <w:r w:rsidR="00C176F4" w:rsidRPr="0075793F">
        <w:rPr>
          <w:rFonts w:ascii="Cambria" w:eastAsia="Times New Roman" w:hAnsi="Cambria" w:cs="Times New Roman"/>
          <w:lang w:val="fr-FR" w:eastAsia="fr-FR"/>
        </w:rPr>
        <w:t>'atténuation</w:t>
      </w:r>
      <w:r w:rsidR="0071784A" w:rsidRPr="0075793F">
        <w:rPr>
          <w:rFonts w:ascii="Cambria" w:eastAsia="Times New Roman" w:hAnsi="Cambria" w:cs="Times New Roman"/>
          <w:lang w:val="fr-FR" w:eastAsia="fr-FR"/>
        </w:rPr>
        <w:t xml:space="preserve">. Cela implique que les synergies entre l'adaptation et l'atténuation devraient être encouragées dans la mise en œuvre des </w:t>
      </w:r>
      <w:r w:rsidRPr="0075793F">
        <w:rPr>
          <w:rFonts w:ascii="Cambria" w:eastAsia="Times New Roman" w:hAnsi="Cambria" w:cs="Times New Roman"/>
          <w:lang w:val="fr-FR" w:eastAsia="fr-FR"/>
        </w:rPr>
        <w:t xml:space="preserve">initiatives et </w:t>
      </w:r>
      <w:r w:rsidR="0071784A" w:rsidRPr="0075793F">
        <w:rPr>
          <w:rFonts w:ascii="Cambria" w:eastAsia="Times New Roman" w:hAnsi="Cambria" w:cs="Times New Roman"/>
          <w:lang w:val="fr-FR" w:eastAsia="fr-FR"/>
        </w:rPr>
        <w:t xml:space="preserve">actions forestières. Les secteurs prioritaires pour les mesures d'atténuation sont </w:t>
      </w:r>
      <w:r w:rsidRPr="0075793F">
        <w:rPr>
          <w:rFonts w:ascii="Cambria" w:eastAsia="Times New Roman" w:hAnsi="Cambria" w:cs="Times New Roman"/>
          <w:lang w:val="fr-FR" w:eastAsia="fr-FR"/>
        </w:rPr>
        <w:t>les secteurs forêt</w:t>
      </w:r>
      <w:r w:rsidR="0071784A" w:rsidRPr="0075793F">
        <w:rPr>
          <w:rFonts w:ascii="Cambria" w:eastAsia="Times New Roman" w:hAnsi="Cambria" w:cs="Times New Roman"/>
          <w:lang w:val="fr-FR" w:eastAsia="fr-FR"/>
        </w:rPr>
        <w:t>, de l'énergie, de l'agriculture et de la terre. Pour les mesures d'adaptation, l</w:t>
      </w:r>
      <w:r w:rsidRPr="0075793F">
        <w:rPr>
          <w:rFonts w:ascii="Cambria" w:eastAsia="Times New Roman" w:hAnsi="Cambria" w:cs="Times New Roman"/>
          <w:lang w:val="fr-FR" w:eastAsia="fr-FR"/>
        </w:rPr>
        <w:t xml:space="preserve">es secteurs forêt, agriculture, eau et </w:t>
      </w:r>
      <w:r w:rsidR="0071784A" w:rsidRPr="0075793F">
        <w:rPr>
          <w:rFonts w:ascii="Cambria" w:eastAsia="Times New Roman" w:hAnsi="Cambria" w:cs="Times New Roman"/>
          <w:lang w:val="fr-FR" w:eastAsia="fr-FR"/>
        </w:rPr>
        <w:t xml:space="preserve">terre </w:t>
      </w:r>
      <w:r w:rsidRPr="0075793F">
        <w:rPr>
          <w:rFonts w:ascii="Cambria" w:eastAsia="Times New Roman" w:hAnsi="Cambria" w:cs="Times New Roman"/>
          <w:lang w:val="fr-FR" w:eastAsia="fr-FR"/>
        </w:rPr>
        <w:t>représentent</w:t>
      </w:r>
      <w:r w:rsidR="0071784A" w:rsidRPr="0075793F">
        <w:rPr>
          <w:rFonts w:ascii="Cambria" w:eastAsia="Times New Roman" w:hAnsi="Cambria" w:cs="Times New Roman"/>
          <w:lang w:val="fr-FR" w:eastAsia="fr-FR"/>
        </w:rPr>
        <w:t xml:space="preserve"> les secteurs prioritaires. </w:t>
      </w:r>
    </w:p>
    <w:p w:rsidR="003668C1" w:rsidRPr="0075793F" w:rsidRDefault="003668C1" w:rsidP="00C176F4">
      <w:pPr>
        <w:spacing w:after="0" w:line="240" w:lineRule="auto"/>
        <w:jc w:val="both"/>
        <w:rPr>
          <w:rFonts w:ascii="Cambria" w:eastAsia="Times New Roman" w:hAnsi="Cambria" w:cs="Times New Roman"/>
          <w:lang w:val="fr-FR" w:eastAsia="fr-FR"/>
        </w:rPr>
      </w:pPr>
    </w:p>
    <w:p w:rsidR="00C045B8" w:rsidRPr="0075793F" w:rsidRDefault="003668C1" w:rsidP="003668C1">
      <w:pPr>
        <w:spacing w:after="0" w:line="240" w:lineRule="auto"/>
        <w:jc w:val="both"/>
        <w:rPr>
          <w:rFonts w:ascii="Cambria" w:eastAsia="Times New Roman" w:hAnsi="Cambria" w:cs="Times New Roman"/>
          <w:lang w:val="fr-FR" w:eastAsia="fr-FR"/>
        </w:rPr>
      </w:pPr>
      <w:r w:rsidRPr="0075793F">
        <w:rPr>
          <w:rFonts w:ascii="Cambria" w:eastAsia="Times New Roman" w:hAnsi="Cambria" w:cs="Times New Roman"/>
          <w:lang w:val="fr-FR" w:eastAsia="fr-FR"/>
        </w:rPr>
        <w:t xml:space="preserve">Les contributions </w:t>
      </w:r>
      <w:r w:rsidR="006A6400" w:rsidRPr="0075793F">
        <w:rPr>
          <w:rFonts w:ascii="Cambria" w:eastAsia="Times New Roman" w:hAnsi="Cambria" w:cs="Times New Roman"/>
          <w:lang w:val="fr-FR" w:eastAsia="fr-FR"/>
        </w:rPr>
        <w:t xml:space="preserve">en matière </w:t>
      </w:r>
      <w:r w:rsidRPr="0075793F">
        <w:rPr>
          <w:rFonts w:ascii="Cambria" w:eastAsia="Times New Roman" w:hAnsi="Cambria" w:cs="Times New Roman"/>
          <w:lang w:val="fr-FR" w:eastAsia="fr-FR"/>
        </w:rPr>
        <w:t xml:space="preserve">d’adaptation sont ancrées dans le cadre du Programme d’Action National d'Adaptation aux Changements Climatiques (PANA) et le Plan National d’Adaptation aux changements climatiques (PNA) des pays d’Afrique Centrale. Par contre, les contributions </w:t>
      </w:r>
      <w:r w:rsidR="006A6400" w:rsidRPr="0075793F">
        <w:rPr>
          <w:rFonts w:ascii="Cambria" w:eastAsia="Times New Roman" w:hAnsi="Cambria" w:cs="Times New Roman"/>
          <w:lang w:val="fr-FR" w:eastAsia="fr-FR"/>
        </w:rPr>
        <w:t xml:space="preserve">en matière </w:t>
      </w:r>
      <w:r w:rsidRPr="0075793F">
        <w:rPr>
          <w:rFonts w:ascii="Cambria" w:eastAsia="Times New Roman" w:hAnsi="Cambria" w:cs="Times New Roman"/>
          <w:lang w:val="fr-FR" w:eastAsia="fr-FR"/>
        </w:rPr>
        <w:t xml:space="preserve">d’atténuation sont ancrées dans </w:t>
      </w:r>
      <w:r w:rsidR="00ED755A" w:rsidRPr="0075793F">
        <w:rPr>
          <w:rFonts w:ascii="Cambria" w:eastAsia="Times New Roman" w:hAnsi="Cambria" w:cs="Times New Roman"/>
          <w:lang w:val="fr-FR" w:eastAsia="fr-FR"/>
        </w:rPr>
        <w:t xml:space="preserve">divers programmes et stratégies nationaux : </w:t>
      </w:r>
      <w:r w:rsidRPr="0075793F">
        <w:rPr>
          <w:rFonts w:ascii="Cambria" w:eastAsia="Times New Roman" w:hAnsi="Cambria" w:cs="Times New Roman"/>
          <w:lang w:val="fr-FR" w:eastAsia="fr-FR"/>
        </w:rPr>
        <w:t xml:space="preserve">le programme pilote et le mécanisme </w:t>
      </w:r>
      <w:r w:rsidR="00ED755A" w:rsidRPr="0075793F">
        <w:rPr>
          <w:rFonts w:ascii="Cambria" w:eastAsia="Times New Roman" w:hAnsi="Cambria" w:cs="Times New Roman"/>
          <w:lang w:val="fr-FR" w:eastAsia="fr-FR"/>
        </w:rPr>
        <w:t xml:space="preserve">REDD+ pour le </w:t>
      </w:r>
      <w:r w:rsidRPr="0075793F">
        <w:rPr>
          <w:rFonts w:ascii="Cambria" w:eastAsia="Times New Roman" w:hAnsi="Cambria" w:cs="Times New Roman"/>
          <w:lang w:val="fr-FR" w:eastAsia="fr-FR"/>
        </w:rPr>
        <w:t>Burundi, la cohérence entre la</w:t>
      </w:r>
      <w:r w:rsidR="00ED755A" w:rsidRPr="0075793F">
        <w:rPr>
          <w:rFonts w:ascii="Cambria" w:eastAsia="Times New Roman" w:hAnsi="Cambria" w:cs="Times New Roman"/>
          <w:lang w:val="fr-FR" w:eastAsia="fr-FR"/>
        </w:rPr>
        <w:t xml:space="preserve"> politique agricole et la REDD+ pour le </w:t>
      </w:r>
      <w:r w:rsidRPr="0075793F">
        <w:rPr>
          <w:rFonts w:ascii="Cambria" w:eastAsia="Times New Roman" w:hAnsi="Cambria" w:cs="Times New Roman"/>
          <w:lang w:val="fr-FR" w:eastAsia="fr-FR"/>
        </w:rPr>
        <w:t>Camerou</w:t>
      </w:r>
      <w:r w:rsidR="00ED755A" w:rsidRPr="0075793F">
        <w:rPr>
          <w:rFonts w:ascii="Cambria" w:eastAsia="Times New Roman" w:hAnsi="Cambria" w:cs="Times New Roman"/>
          <w:lang w:val="fr-FR" w:eastAsia="fr-FR"/>
        </w:rPr>
        <w:t>n</w:t>
      </w:r>
      <w:r w:rsidRPr="0075793F">
        <w:rPr>
          <w:rFonts w:ascii="Cambria" w:eastAsia="Times New Roman" w:hAnsi="Cambria" w:cs="Times New Roman"/>
          <w:lang w:val="fr-FR" w:eastAsia="fr-FR"/>
        </w:rPr>
        <w:t>, la lutte contre la dé</w:t>
      </w:r>
      <w:r w:rsidR="00ED755A" w:rsidRPr="0075793F">
        <w:rPr>
          <w:rFonts w:ascii="Cambria" w:eastAsia="Times New Roman" w:hAnsi="Cambria" w:cs="Times New Roman"/>
          <w:lang w:val="fr-FR" w:eastAsia="fr-FR"/>
        </w:rPr>
        <w:t>forestation non planifiée REDD de la stratégie REDD + pour le Congo</w:t>
      </w:r>
      <w:r w:rsidRPr="0075793F">
        <w:rPr>
          <w:rFonts w:ascii="Cambria" w:eastAsia="Times New Roman" w:hAnsi="Cambria" w:cs="Times New Roman"/>
          <w:lang w:val="fr-FR" w:eastAsia="fr-FR"/>
        </w:rPr>
        <w:t>, la mise en œuvre des stratégies et des processus REDD+ (Guinée Équatoriale, RDC, Rwanda et Tchad).</w:t>
      </w:r>
    </w:p>
    <w:p w:rsidR="003668C1" w:rsidRPr="0075793F" w:rsidRDefault="003668C1" w:rsidP="003668C1">
      <w:pPr>
        <w:spacing w:after="0" w:line="240" w:lineRule="auto"/>
        <w:jc w:val="both"/>
        <w:rPr>
          <w:rFonts w:ascii="Cambria" w:eastAsia="Times New Roman" w:hAnsi="Cambria" w:cs="Times New Roman"/>
          <w:lang w:val="fr-FR" w:eastAsia="fr-FR"/>
        </w:rPr>
      </w:pPr>
    </w:p>
    <w:p w:rsidR="00C176F4" w:rsidRPr="0075793F" w:rsidRDefault="00C045B8" w:rsidP="00C176F4">
      <w:pPr>
        <w:spacing w:after="0" w:line="240" w:lineRule="auto"/>
        <w:jc w:val="both"/>
        <w:rPr>
          <w:rFonts w:ascii="Cambria" w:eastAsia="Times New Roman" w:hAnsi="Cambria" w:cs="Times New Roman"/>
          <w:lang w:val="fr-FR" w:eastAsia="fr-FR"/>
        </w:rPr>
      </w:pPr>
      <w:r w:rsidRPr="0075793F">
        <w:rPr>
          <w:rFonts w:ascii="Cambria" w:eastAsia="Times New Roman" w:hAnsi="Cambria" w:cs="Times New Roman"/>
          <w:lang w:val="fr-FR" w:eastAsia="fr-FR"/>
        </w:rPr>
        <w:t xml:space="preserve">Le classement des différents secteurs couverts dans les CPDN des pays d’Afrique Centrale </w:t>
      </w:r>
      <w:r w:rsidR="00ED755A" w:rsidRPr="0075793F">
        <w:rPr>
          <w:rFonts w:ascii="Cambria" w:eastAsia="Times New Roman" w:hAnsi="Cambria" w:cs="Times New Roman"/>
          <w:lang w:val="fr-FR" w:eastAsia="fr-FR"/>
        </w:rPr>
        <w:t xml:space="preserve">se présentent comme suit </w:t>
      </w:r>
      <w:r w:rsidRPr="0075793F">
        <w:rPr>
          <w:rFonts w:ascii="Cambria" w:eastAsia="Times New Roman" w:hAnsi="Cambria" w:cs="Times New Roman"/>
          <w:lang w:val="fr-FR" w:eastAsia="fr-FR"/>
        </w:rPr>
        <w:t>par ordre d'importance</w:t>
      </w:r>
      <w:r w:rsidR="00ED755A" w:rsidRPr="0075793F">
        <w:rPr>
          <w:rFonts w:ascii="Cambria" w:eastAsia="Times New Roman" w:hAnsi="Cambria" w:cs="Times New Roman"/>
          <w:lang w:val="fr-FR" w:eastAsia="fr-FR"/>
        </w:rPr>
        <w:t xml:space="preserve"> </w:t>
      </w:r>
      <w:r w:rsidRPr="0075793F">
        <w:rPr>
          <w:rFonts w:ascii="Cambria" w:eastAsia="Times New Roman" w:hAnsi="Cambria" w:cs="Times New Roman"/>
          <w:lang w:val="fr-FR" w:eastAsia="fr-FR"/>
        </w:rPr>
        <w:t>:</w:t>
      </w:r>
    </w:p>
    <w:p w:rsidR="00C176F4" w:rsidRDefault="00C045B8" w:rsidP="00970000">
      <w:pPr>
        <w:jc w:val="both"/>
        <w:rPr>
          <w:rFonts w:ascii="Cambria" w:eastAsia="Times New Roman" w:hAnsi="Cambria" w:cs="Times New Roman"/>
          <w:b/>
          <w:sz w:val="24"/>
          <w:szCs w:val="24"/>
          <w:lang w:val="fr-FR" w:eastAsia="fr-FR"/>
        </w:rPr>
      </w:pPr>
      <w:r w:rsidRPr="00C045B8">
        <w:rPr>
          <w:rFonts w:ascii="Cambria" w:eastAsia="Times New Roman" w:hAnsi="Cambria" w:cs="Times New Roman"/>
          <w:b/>
          <w:noProof/>
          <w:sz w:val="24"/>
          <w:szCs w:val="24"/>
          <w:lang w:val="fi-FI" w:eastAsia="fi-FI"/>
        </w:rPr>
        <w:drawing>
          <wp:inline distT="0" distB="0" distL="0" distR="0" wp14:anchorId="15D7C6FD" wp14:editId="265A7CD5">
            <wp:extent cx="4819650" cy="361473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2160" cy="3631620"/>
                    </a:xfrm>
                    <a:prstGeom prst="rect">
                      <a:avLst/>
                    </a:prstGeom>
                  </pic:spPr>
                </pic:pic>
              </a:graphicData>
            </a:graphic>
          </wp:inline>
        </w:drawing>
      </w:r>
    </w:p>
    <w:p w:rsidR="0075793F" w:rsidRDefault="0075793F" w:rsidP="00ED755A">
      <w:pPr>
        <w:jc w:val="both"/>
        <w:rPr>
          <w:rFonts w:ascii="Cambria" w:eastAsia="Times New Roman" w:hAnsi="Cambria" w:cs="Times New Roman"/>
          <w:b/>
          <w:sz w:val="24"/>
          <w:szCs w:val="24"/>
          <w:lang w:val="fr-FR" w:eastAsia="fr-FR"/>
        </w:rPr>
      </w:pPr>
    </w:p>
    <w:p w:rsidR="00ED755A" w:rsidRPr="0075793F" w:rsidRDefault="00ED755A" w:rsidP="00ED755A">
      <w:pPr>
        <w:jc w:val="both"/>
        <w:rPr>
          <w:rFonts w:ascii="Cambria" w:eastAsia="Times New Roman" w:hAnsi="Cambria" w:cs="Times New Roman"/>
          <w:lang w:val="fr-FR" w:eastAsia="fr-FR"/>
        </w:rPr>
      </w:pPr>
      <w:r w:rsidRPr="0075793F">
        <w:rPr>
          <w:rFonts w:ascii="Cambria" w:eastAsia="Times New Roman" w:hAnsi="Cambria" w:cs="Times New Roman"/>
          <w:lang w:val="fr-FR" w:eastAsia="fr-FR"/>
        </w:rPr>
        <w:t>Le graphique ci-après représente l</w:t>
      </w:r>
      <w:r w:rsidR="00C045B8" w:rsidRPr="0075793F">
        <w:rPr>
          <w:rFonts w:ascii="Cambria" w:eastAsia="Times New Roman" w:hAnsi="Cambria" w:cs="Times New Roman"/>
          <w:lang w:val="fr-FR" w:eastAsia="fr-FR"/>
        </w:rPr>
        <w:t xml:space="preserve">es secteurs couverts et prioritaires </w:t>
      </w:r>
      <w:r w:rsidRPr="0075793F">
        <w:rPr>
          <w:rFonts w:ascii="Cambria" w:eastAsia="Times New Roman" w:hAnsi="Cambria" w:cs="Times New Roman"/>
          <w:lang w:val="fr-FR" w:eastAsia="fr-FR"/>
        </w:rPr>
        <w:t xml:space="preserve">dans les 10 pays membres de la COMIFAC. </w:t>
      </w:r>
    </w:p>
    <w:p w:rsidR="00C045B8" w:rsidRDefault="00C045B8" w:rsidP="00ED755A">
      <w:pPr>
        <w:jc w:val="both"/>
        <w:rPr>
          <w:rFonts w:ascii="Cambria" w:eastAsia="Times New Roman" w:hAnsi="Cambria" w:cs="Times New Roman"/>
          <w:sz w:val="24"/>
          <w:szCs w:val="24"/>
          <w:lang w:val="fr-FR" w:eastAsia="fr-FR"/>
        </w:rPr>
      </w:pPr>
      <w:r w:rsidRPr="00C045B8">
        <w:rPr>
          <w:rFonts w:ascii="Cambria" w:eastAsia="Times New Roman" w:hAnsi="Cambria" w:cs="Times New Roman"/>
          <w:noProof/>
          <w:sz w:val="24"/>
          <w:szCs w:val="24"/>
          <w:lang w:val="fi-FI" w:eastAsia="fi-FI"/>
        </w:rPr>
        <w:lastRenderedPageBreak/>
        <w:drawing>
          <wp:inline distT="0" distB="0" distL="0" distR="0" wp14:anchorId="4CBE04A9" wp14:editId="26CB6358">
            <wp:extent cx="4571999" cy="303847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84066" cy="3046494"/>
                    </a:xfrm>
                    <a:prstGeom prst="rect">
                      <a:avLst/>
                    </a:prstGeom>
                  </pic:spPr>
                </pic:pic>
              </a:graphicData>
            </a:graphic>
          </wp:inline>
        </w:drawing>
      </w:r>
    </w:p>
    <w:p w:rsidR="0075793F" w:rsidRPr="00C176F4" w:rsidRDefault="0075793F" w:rsidP="00C045B8">
      <w:pPr>
        <w:spacing w:after="0" w:line="240" w:lineRule="auto"/>
        <w:jc w:val="both"/>
        <w:rPr>
          <w:rFonts w:ascii="Cambria" w:eastAsia="Times New Roman" w:hAnsi="Cambria" w:cs="Times New Roman"/>
          <w:sz w:val="24"/>
          <w:szCs w:val="24"/>
          <w:lang w:val="fr-FR" w:eastAsia="fr-FR"/>
        </w:rPr>
      </w:pPr>
    </w:p>
    <w:p w:rsidR="003922BA" w:rsidRPr="0075793F" w:rsidRDefault="00ED755A" w:rsidP="00ED755A">
      <w:pPr>
        <w:pStyle w:val="ListParagraph"/>
        <w:numPr>
          <w:ilvl w:val="0"/>
          <w:numId w:val="6"/>
        </w:numPr>
        <w:jc w:val="both"/>
        <w:rPr>
          <w:rFonts w:ascii="Cambria" w:eastAsia="Times New Roman" w:hAnsi="Cambria" w:cs="Times New Roman"/>
          <w:b/>
          <w:lang w:val="fr-FR" w:eastAsia="fr-FR"/>
        </w:rPr>
      </w:pPr>
      <w:r w:rsidRPr="0075793F">
        <w:rPr>
          <w:rFonts w:ascii="Cambria" w:eastAsia="Times New Roman" w:hAnsi="Cambria" w:cs="Times New Roman"/>
          <w:b/>
          <w:lang w:val="fr-FR" w:eastAsia="fr-FR"/>
        </w:rPr>
        <w:t>M</w:t>
      </w:r>
      <w:r w:rsidR="003922BA" w:rsidRPr="0075793F">
        <w:rPr>
          <w:rFonts w:ascii="Cambria" w:eastAsia="Times New Roman" w:hAnsi="Cambria" w:cs="Times New Roman"/>
          <w:b/>
          <w:lang w:val="fr-FR" w:eastAsia="fr-FR"/>
        </w:rPr>
        <w:t>oyens de la mise en œuvre des CPDN</w:t>
      </w:r>
    </w:p>
    <w:p w:rsidR="00C045B8" w:rsidRPr="0075793F" w:rsidRDefault="00C045B8" w:rsidP="00C045B8">
      <w:pPr>
        <w:spacing w:after="0" w:line="240" w:lineRule="auto"/>
        <w:jc w:val="both"/>
        <w:rPr>
          <w:rFonts w:ascii="Cambria" w:eastAsia="Times New Roman" w:hAnsi="Cambria" w:cs="Times New Roman"/>
          <w:lang w:val="fr-FR" w:eastAsia="fr-FR"/>
        </w:rPr>
      </w:pPr>
      <w:r w:rsidRPr="0075793F">
        <w:rPr>
          <w:rFonts w:ascii="Cambria" w:eastAsia="Times New Roman" w:hAnsi="Cambria" w:cs="Times New Roman"/>
          <w:lang w:val="fr-FR" w:eastAsia="fr-FR"/>
        </w:rPr>
        <w:t xml:space="preserve">Afin de </w:t>
      </w:r>
      <w:r w:rsidR="00ED755A" w:rsidRPr="0075793F">
        <w:rPr>
          <w:rFonts w:ascii="Cambria" w:eastAsia="Times New Roman" w:hAnsi="Cambria" w:cs="Times New Roman"/>
          <w:lang w:val="fr-FR" w:eastAsia="fr-FR"/>
        </w:rPr>
        <w:t>contribuer</w:t>
      </w:r>
      <w:r w:rsidR="003922BA" w:rsidRPr="0075793F">
        <w:rPr>
          <w:rFonts w:ascii="Cambria" w:eastAsia="Times New Roman" w:hAnsi="Cambria" w:cs="Times New Roman"/>
          <w:lang w:val="fr-FR" w:eastAsia="fr-FR"/>
        </w:rPr>
        <w:t xml:space="preserve"> à l’effort mondial de lutte contre les changements climatiques et en même temps </w:t>
      </w:r>
      <w:r w:rsidRPr="0075793F">
        <w:rPr>
          <w:rFonts w:ascii="Cambria" w:eastAsia="Times New Roman" w:hAnsi="Cambria" w:cs="Times New Roman"/>
          <w:lang w:val="fr-FR" w:eastAsia="fr-FR"/>
        </w:rPr>
        <w:t>devenir des nations émergentes</w:t>
      </w:r>
      <w:r w:rsidR="003668C1" w:rsidRPr="0075793F">
        <w:rPr>
          <w:rFonts w:ascii="Cambria" w:eastAsia="Times New Roman" w:hAnsi="Cambria" w:cs="Times New Roman"/>
          <w:lang w:val="fr-FR" w:eastAsia="fr-FR"/>
        </w:rPr>
        <w:t xml:space="preserve">, les pays </w:t>
      </w:r>
      <w:r w:rsidR="003922BA" w:rsidRPr="0075793F">
        <w:rPr>
          <w:rFonts w:ascii="Cambria" w:eastAsia="Times New Roman" w:hAnsi="Cambria" w:cs="Times New Roman"/>
          <w:lang w:val="fr-FR" w:eastAsia="fr-FR"/>
        </w:rPr>
        <w:t>d</w:t>
      </w:r>
      <w:r w:rsidR="00E24837" w:rsidRPr="0075793F">
        <w:rPr>
          <w:rFonts w:ascii="Cambria" w:eastAsia="Times New Roman" w:hAnsi="Cambria" w:cs="Times New Roman"/>
          <w:lang w:val="fr-FR" w:eastAsia="fr-FR"/>
        </w:rPr>
        <w:t>'Afrique C</w:t>
      </w:r>
      <w:r w:rsidR="003922BA" w:rsidRPr="0075793F">
        <w:rPr>
          <w:rFonts w:ascii="Cambria" w:eastAsia="Times New Roman" w:hAnsi="Cambria" w:cs="Times New Roman"/>
          <w:lang w:val="fr-FR" w:eastAsia="fr-FR"/>
        </w:rPr>
        <w:t xml:space="preserve">entrale </w:t>
      </w:r>
      <w:r w:rsidR="003668C1" w:rsidRPr="0075793F">
        <w:rPr>
          <w:rFonts w:ascii="Cambria" w:eastAsia="Times New Roman" w:hAnsi="Cambria" w:cs="Times New Roman"/>
          <w:lang w:val="fr-FR" w:eastAsia="fr-FR"/>
        </w:rPr>
        <w:t>doivent a</w:t>
      </w:r>
      <w:r w:rsidRPr="0075793F">
        <w:rPr>
          <w:rFonts w:ascii="Cambria" w:eastAsia="Times New Roman" w:hAnsi="Cambria" w:cs="Times New Roman"/>
          <w:lang w:val="fr-FR" w:eastAsia="fr-FR"/>
        </w:rPr>
        <w:t>ccorder plus d'attention au rôle d</w:t>
      </w:r>
      <w:r w:rsidR="009F2779" w:rsidRPr="0075793F">
        <w:rPr>
          <w:rFonts w:ascii="Cambria" w:eastAsia="Times New Roman" w:hAnsi="Cambria" w:cs="Times New Roman"/>
          <w:lang w:val="fr-FR" w:eastAsia="fr-FR"/>
        </w:rPr>
        <w:t xml:space="preserve">u </w:t>
      </w:r>
      <w:r w:rsidR="003922BA" w:rsidRPr="0075793F">
        <w:rPr>
          <w:rFonts w:ascii="Cambria" w:eastAsia="Times New Roman" w:hAnsi="Cambria" w:cs="Times New Roman"/>
          <w:lang w:val="fr-FR" w:eastAsia="fr-FR"/>
        </w:rPr>
        <w:t>finance</w:t>
      </w:r>
      <w:r w:rsidR="009F2779" w:rsidRPr="0075793F">
        <w:rPr>
          <w:rFonts w:ascii="Cambria" w:eastAsia="Times New Roman" w:hAnsi="Cambria" w:cs="Times New Roman"/>
          <w:lang w:val="fr-FR" w:eastAsia="fr-FR"/>
        </w:rPr>
        <w:t>ment</w:t>
      </w:r>
      <w:r w:rsidR="003922BA" w:rsidRPr="0075793F">
        <w:rPr>
          <w:rFonts w:ascii="Cambria" w:eastAsia="Times New Roman" w:hAnsi="Cambria" w:cs="Times New Roman"/>
          <w:lang w:val="fr-FR" w:eastAsia="fr-FR"/>
        </w:rPr>
        <w:t xml:space="preserve">, </w:t>
      </w:r>
      <w:r w:rsidRPr="0075793F">
        <w:rPr>
          <w:rFonts w:ascii="Cambria" w:eastAsia="Times New Roman" w:hAnsi="Cambria" w:cs="Times New Roman"/>
          <w:lang w:val="fr-FR" w:eastAsia="fr-FR"/>
        </w:rPr>
        <w:t>le transfert de technologie</w:t>
      </w:r>
      <w:r w:rsidR="003922BA" w:rsidRPr="0075793F">
        <w:rPr>
          <w:rFonts w:ascii="Cambria" w:eastAsia="Times New Roman" w:hAnsi="Cambria" w:cs="Times New Roman"/>
          <w:lang w:val="fr-FR" w:eastAsia="fr-FR"/>
        </w:rPr>
        <w:t>,</w:t>
      </w:r>
      <w:r w:rsidRPr="0075793F">
        <w:rPr>
          <w:rFonts w:ascii="Cambria" w:eastAsia="Times New Roman" w:hAnsi="Cambria" w:cs="Times New Roman"/>
          <w:lang w:val="fr-FR" w:eastAsia="fr-FR"/>
        </w:rPr>
        <w:t xml:space="preserve"> </w:t>
      </w:r>
      <w:r w:rsidR="003922BA" w:rsidRPr="0075793F">
        <w:rPr>
          <w:rFonts w:ascii="Cambria" w:eastAsia="Times New Roman" w:hAnsi="Cambria" w:cs="Times New Roman"/>
          <w:lang w:val="fr-FR" w:eastAsia="fr-FR"/>
        </w:rPr>
        <w:t xml:space="preserve">et </w:t>
      </w:r>
      <w:r w:rsidRPr="0075793F">
        <w:rPr>
          <w:rFonts w:ascii="Cambria" w:eastAsia="Times New Roman" w:hAnsi="Cambria" w:cs="Times New Roman"/>
          <w:lang w:val="fr-FR" w:eastAsia="fr-FR"/>
        </w:rPr>
        <w:t xml:space="preserve">le </w:t>
      </w:r>
      <w:r w:rsidR="003922BA" w:rsidRPr="0075793F">
        <w:rPr>
          <w:rFonts w:ascii="Cambria" w:eastAsia="Times New Roman" w:hAnsi="Cambria" w:cs="Times New Roman"/>
          <w:lang w:val="fr-FR" w:eastAsia="fr-FR"/>
        </w:rPr>
        <w:t xml:space="preserve">renforcement </w:t>
      </w:r>
      <w:r w:rsidRPr="0075793F">
        <w:rPr>
          <w:rFonts w:ascii="Cambria" w:eastAsia="Times New Roman" w:hAnsi="Cambria" w:cs="Times New Roman"/>
          <w:lang w:val="fr-FR" w:eastAsia="fr-FR"/>
        </w:rPr>
        <w:t>des ca</w:t>
      </w:r>
      <w:r w:rsidR="00ED755A" w:rsidRPr="0075793F">
        <w:rPr>
          <w:rFonts w:ascii="Cambria" w:eastAsia="Times New Roman" w:hAnsi="Cambria" w:cs="Times New Roman"/>
          <w:lang w:val="fr-FR" w:eastAsia="fr-FR"/>
        </w:rPr>
        <w:t>pacités penda</w:t>
      </w:r>
      <w:r w:rsidR="003922BA" w:rsidRPr="0075793F">
        <w:rPr>
          <w:rFonts w:ascii="Cambria" w:eastAsia="Times New Roman" w:hAnsi="Cambria" w:cs="Times New Roman"/>
          <w:lang w:val="fr-FR" w:eastAsia="fr-FR"/>
        </w:rPr>
        <w:t>nt la mise en œuvre de</w:t>
      </w:r>
      <w:r w:rsidR="00ED755A" w:rsidRPr="0075793F">
        <w:rPr>
          <w:rFonts w:ascii="Cambria" w:eastAsia="Times New Roman" w:hAnsi="Cambria" w:cs="Times New Roman"/>
          <w:lang w:val="fr-FR" w:eastAsia="fr-FR"/>
        </w:rPr>
        <w:t xml:space="preserve"> leur</w:t>
      </w:r>
      <w:r w:rsidR="003922BA" w:rsidRPr="0075793F">
        <w:rPr>
          <w:rFonts w:ascii="Cambria" w:eastAsia="Times New Roman" w:hAnsi="Cambria" w:cs="Times New Roman"/>
          <w:lang w:val="fr-FR" w:eastAsia="fr-FR"/>
        </w:rPr>
        <w:t>s CPDN.</w:t>
      </w:r>
    </w:p>
    <w:p w:rsidR="00BE055F" w:rsidRPr="0075793F" w:rsidRDefault="00BE055F" w:rsidP="00C045B8">
      <w:pPr>
        <w:spacing w:after="0" w:line="240" w:lineRule="auto"/>
        <w:jc w:val="both"/>
        <w:rPr>
          <w:rFonts w:ascii="Cambria" w:eastAsia="Times New Roman" w:hAnsi="Cambria" w:cs="Times New Roman"/>
          <w:lang w:val="fr-FR" w:eastAsia="fr-FR"/>
        </w:rPr>
      </w:pPr>
    </w:p>
    <w:p w:rsidR="003922BA" w:rsidRPr="0075793F" w:rsidRDefault="00304E12" w:rsidP="00C045B8">
      <w:pPr>
        <w:spacing w:after="0" w:line="240" w:lineRule="auto"/>
        <w:jc w:val="both"/>
        <w:rPr>
          <w:rFonts w:ascii="Cambria" w:eastAsia="Times New Roman" w:hAnsi="Cambria" w:cs="Times New Roman"/>
          <w:lang w:val="fr-FR" w:eastAsia="fr-FR"/>
        </w:rPr>
      </w:pPr>
      <w:r w:rsidRPr="0075793F">
        <w:rPr>
          <w:rFonts w:ascii="Cambria" w:eastAsia="Times New Roman" w:hAnsi="Cambria" w:cs="Times New Roman"/>
          <w:b/>
          <w:i/>
          <w:lang w:val="fr-FR" w:eastAsia="fr-FR"/>
        </w:rPr>
        <w:t>Le</w:t>
      </w:r>
      <w:r w:rsidR="00BE055F" w:rsidRPr="0075793F">
        <w:rPr>
          <w:rFonts w:ascii="Cambria" w:eastAsia="Times New Roman" w:hAnsi="Cambria" w:cs="Times New Roman"/>
          <w:b/>
          <w:i/>
          <w:lang w:val="fr-FR" w:eastAsia="fr-FR"/>
        </w:rPr>
        <w:t xml:space="preserve"> finance</w:t>
      </w:r>
      <w:r w:rsidRPr="0075793F">
        <w:rPr>
          <w:rFonts w:ascii="Cambria" w:eastAsia="Times New Roman" w:hAnsi="Cambria" w:cs="Times New Roman"/>
          <w:b/>
          <w:i/>
          <w:lang w:val="fr-FR" w:eastAsia="fr-FR"/>
        </w:rPr>
        <w:t>ment</w:t>
      </w:r>
      <w:r w:rsidR="00BE055F" w:rsidRPr="0075793F">
        <w:rPr>
          <w:rFonts w:ascii="Cambria" w:eastAsia="Times New Roman" w:hAnsi="Cambria" w:cs="Times New Roman"/>
          <w:lang w:val="fr-FR" w:eastAsia="fr-FR"/>
        </w:rPr>
        <w:t xml:space="preserve">: </w:t>
      </w:r>
      <w:r w:rsidR="009F2779" w:rsidRPr="0075793F">
        <w:rPr>
          <w:rFonts w:ascii="Cambria" w:eastAsia="Times New Roman" w:hAnsi="Cambria" w:cs="Times New Roman"/>
          <w:lang w:val="fr-FR" w:eastAsia="fr-FR"/>
        </w:rPr>
        <w:t>Les 10 pays d’Afrique Centrale ont besoin</w:t>
      </w:r>
      <w:r w:rsidR="009F2779" w:rsidRPr="0075793F">
        <w:rPr>
          <w:rFonts w:ascii="Cambria" w:eastAsia="Times New Roman" w:hAnsi="Cambria" w:cs="Times New Roman"/>
          <w:b/>
          <w:lang w:val="fr-FR" w:eastAsia="fr-FR"/>
        </w:rPr>
        <w:t xml:space="preserve"> </w:t>
      </w:r>
      <w:r w:rsidR="002727F0" w:rsidRPr="0075793F">
        <w:rPr>
          <w:rFonts w:ascii="Cambria" w:eastAsia="Times New Roman" w:hAnsi="Cambria" w:cs="Times New Roman"/>
          <w:b/>
          <w:lang w:val="fr-FR" w:eastAsia="fr-FR"/>
        </w:rPr>
        <w:t xml:space="preserve">au minimum </w:t>
      </w:r>
      <w:r w:rsidR="00C973FB" w:rsidRPr="0075793F">
        <w:rPr>
          <w:rFonts w:ascii="Cambria" w:eastAsia="Times New Roman" w:hAnsi="Cambria" w:cs="Times New Roman"/>
          <w:b/>
          <w:lang w:val="fr-FR" w:eastAsia="fr-FR"/>
        </w:rPr>
        <w:t xml:space="preserve">de </w:t>
      </w:r>
      <w:r w:rsidR="002727F0" w:rsidRPr="0075793F">
        <w:rPr>
          <w:rFonts w:ascii="Cambria" w:eastAsia="Times New Roman" w:hAnsi="Cambria" w:cs="Times New Roman"/>
          <w:b/>
          <w:lang w:val="fr-FR" w:eastAsia="fr-FR"/>
        </w:rPr>
        <w:t>100</w:t>
      </w:r>
      <w:r w:rsidR="009F2779" w:rsidRPr="0075793F">
        <w:rPr>
          <w:rFonts w:ascii="Cambria" w:eastAsia="Times New Roman" w:hAnsi="Cambria" w:cs="Times New Roman"/>
          <w:b/>
          <w:lang w:val="fr-FR" w:eastAsia="fr-FR"/>
        </w:rPr>
        <w:t xml:space="preserve"> </w:t>
      </w:r>
      <w:r w:rsidR="00C973FB" w:rsidRPr="0075793F">
        <w:rPr>
          <w:rFonts w:ascii="Cambria" w:eastAsia="Times New Roman" w:hAnsi="Cambria" w:cs="Times New Roman"/>
          <w:b/>
          <w:lang w:val="fr-FR" w:eastAsia="fr-FR"/>
        </w:rPr>
        <w:t>m</w:t>
      </w:r>
      <w:r w:rsidR="009F2779" w:rsidRPr="0075793F">
        <w:rPr>
          <w:rFonts w:ascii="Cambria" w:eastAsia="Times New Roman" w:hAnsi="Cambria" w:cs="Times New Roman"/>
          <w:b/>
          <w:lang w:val="fr-FR" w:eastAsia="fr-FR"/>
        </w:rPr>
        <w:t>illiard</w:t>
      </w:r>
      <w:r w:rsidR="00C973FB" w:rsidRPr="0075793F">
        <w:rPr>
          <w:rFonts w:ascii="Cambria" w:eastAsia="Times New Roman" w:hAnsi="Cambria" w:cs="Times New Roman"/>
          <w:b/>
          <w:lang w:val="fr-FR" w:eastAsia="fr-FR"/>
        </w:rPr>
        <w:t>s</w:t>
      </w:r>
      <w:r w:rsidR="009F2779" w:rsidRPr="0075793F">
        <w:rPr>
          <w:rFonts w:ascii="Cambria" w:eastAsia="Times New Roman" w:hAnsi="Cambria" w:cs="Times New Roman"/>
          <w:b/>
          <w:lang w:val="fr-FR" w:eastAsia="fr-FR"/>
        </w:rPr>
        <w:t xml:space="preserve"> $</w:t>
      </w:r>
      <w:r w:rsidR="009F2779" w:rsidRPr="0075793F">
        <w:rPr>
          <w:rFonts w:ascii="Cambria" w:eastAsia="Times New Roman" w:hAnsi="Cambria" w:cs="Times New Roman"/>
          <w:lang w:val="fr-FR" w:eastAsia="fr-FR"/>
        </w:rPr>
        <w:t xml:space="preserve"> pour </w:t>
      </w:r>
      <w:r w:rsidR="00C973FB" w:rsidRPr="0075793F">
        <w:rPr>
          <w:rFonts w:ascii="Cambria" w:eastAsia="Times New Roman" w:hAnsi="Cambria" w:cs="Times New Roman"/>
          <w:lang w:val="fr-FR" w:eastAsia="fr-FR"/>
        </w:rPr>
        <w:t xml:space="preserve">réduire jusqu’en 2030, </w:t>
      </w:r>
      <w:r w:rsidR="002727F0" w:rsidRPr="0075793F">
        <w:rPr>
          <w:rFonts w:ascii="Cambria" w:eastAsia="Times New Roman" w:hAnsi="Cambria" w:cs="Times New Roman"/>
          <w:lang w:val="fr-FR" w:eastAsia="fr-FR"/>
        </w:rPr>
        <w:t>environ 455,4 Mega</w:t>
      </w:r>
      <w:r w:rsidR="00C973FB" w:rsidRPr="0075793F">
        <w:rPr>
          <w:rFonts w:ascii="Cambria" w:eastAsia="Times New Roman" w:hAnsi="Cambria" w:cs="Times New Roman"/>
          <w:lang w:val="fr-FR" w:eastAsia="fr-FR"/>
        </w:rPr>
        <w:t xml:space="preserve"> tonnes d'équivalence </w:t>
      </w:r>
      <w:r w:rsidR="002727F0" w:rsidRPr="0075793F">
        <w:rPr>
          <w:rFonts w:ascii="Cambria" w:eastAsia="Times New Roman" w:hAnsi="Cambria" w:cs="Times New Roman"/>
          <w:lang w:val="fr-FR" w:eastAsia="fr-FR"/>
        </w:rPr>
        <w:t xml:space="preserve">CO2 des émissions décrites dans les CPDN. </w:t>
      </w:r>
      <w:r w:rsidR="00C90659" w:rsidRPr="0075793F">
        <w:rPr>
          <w:rFonts w:ascii="Cambria" w:eastAsia="Times New Roman" w:hAnsi="Cambria" w:cs="Times New Roman"/>
          <w:lang w:val="fr-FR" w:eastAsia="fr-FR"/>
        </w:rPr>
        <w:t>Les sources potentielles pour m</w:t>
      </w:r>
      <w:r w:rsidR="006A59AE" w:rsidRPr="0075793F">
        <w:rPr>
          <w:rFonts w:ascii="Cambria" w:eastAsia="Times New Roman" w:hAnsi="Cambria" w:cs="Times New Roman"/>
          <w:lang w:val="fr-FR" w:eastAsia="fr-FR"/>
        </w:rPr>
        <w:t xml:space="preserve">obiliser </w:t>
      </w:r>
      <w:r w:rsidR="00C90659" w:rsidRPr="0075793F">
        <w:rPr>
          <w:rFonts w:ascii="Cambria" w:eastAsia="Times New Roman" w:hAnsi="Cambria" w:cs="Times New Roman"/>
          <w:lang w:val="fr-FR" w:eastAsia="fr-FR"/>
        </w:rPr>
        <w:t>les financements sont :</w:t>
      </w:r>
      <w:r w:rsidR="006A59AE" w:rsidRPr="0075793F">
        <w:rPr>
          <w:rFonts w:ascii="Cambria" w:eastAsia="Times New Roman" w:hAnsi="Cambria" w:cs="Times New Roman"/>
          <w:lang w:val="fr-FR" w:eastAsia="fr-FR"/>
        </w:rPr>
        <w:t xml:space="preserve"> </w:t>
      </w:r>
      <w:r w:rsidR="00C90659" w:rsidRPr="0075793F">
        <w:rPr>
          <w:rFonts w:ascii="Cambria" w:eastAsia="Times New Roman" w:hAnsi="Cambria" w:cs="Times New Roman"/>
          <w:lang w:val="fr-FR" w:eastAsia="fr-FR"/>
        </w:rPr>
        <w:t>les bailleurs de fonds</w:t>
      </w:r>
      <w:r w:rsidR="00C973FB" w:rsidRPr="0075793F">
        <w:rPr>
          <w:rFonts w:ascii="Cambria" w:eastAsia="Times New Roman" w:hAnsi="Cambria" w:cs="Times New Roman"/>
          <w:lang w:val="fr-FR" w:eastAsia="fr-FR"/>
        </w:rPr>
        <w:t xml:space="preserve"> classiques</w:t>
      </w:r>
      <w:r w:rsidR="00C90659" w:rsidRPr="0075793F">
        <w:rPr>
          <w:rFonts w:ascii="Cambria" w:eastAsia="Times New Roman" w:hAnsi="Cambria" w:cs="Times New Roman"/>
          <w:lang w:val="fr-FR" w:eastAsia="fr-FR"/>
        </w:rPr>
        <w:t>, les budgets de l’Etat, les financements ou investissements privés, le fonds vert pour le climat (FVC), les crédits du marché du carbone domestique et international. Les autres sources potentielle</w:t>
      </w:r>
      <w:r w:rsidR="00C973FB" w:rsidRPr="0075793F">
        <w:rPr>
          <w:rFonts w:ascii="Cambria" w:eastAsia="Times New Roman" w:hAnsi="Cambria" w:cs="Times New Roman"/>
          <w:lang w:val="fr-FR" w:eastAsia="fr-FR"/>
        </w:rPr>
        <w:t>s</w:t>
      </w:r>
      <w:r w:rsidR="00C90659" w:rsidRPr="0075793F">
        <w:rPr>
          <w:rFonts w:ascii="Cambria" w:eastAsia="Times New Roman" w:hAnsi="Cambria" w:cs="Times New Roman"/>
          <w:lang w:val="fr-FR" w:eastAsia="fr-FR"/>
        </w:rPr>
        <w:t xml:space="preserve"> </w:t>
      </w:r>
      <w:r w:rsidR="00C973FB" w:rsidRPr="0075793F">
        <w:rPr>
          <w:rFonts w:ascii="Cambria" w:eastAsia="Times New Roman" w:hAnsi="Cambria" w:cs="Times New Roman"/>
          <w:lang w:val="fr-FR" w:eastAsia="fr-FR"/>
        </w:rPr>
        <w:t xml:space="preserve">de financement </w:t>
      </w:r>
      <w:r w:rsidR="00C90659" w:rsidRPr="0075793F">
        <w:rPr>
          <w:rFonts w:ascii="Cambria" w:eastAsia="Times New Roman" w:hAnsi="Cambria" w:cs="Times New Roman"/>
          <w:lang w:val="fr-FR" w:eastAsia="fr-FR"/>
        </w:rPr>
        <w:t xml:space="preserve">sont : la Coopération Chinoise </w:t>
      </w:r>
      <w:r w:rsidR="00C973FB" w:rsidRPr="0075793F">
        <w:rPr>
          <w:rFonts w:ascii="Cambria" w:eastAsia="Times New Roman" w:hAnsi="Cambria" w:cs="Times New Roman"/>
          <w:lang w:val="fr-FR" w:eastAsia="fr-FR"/>
        </w:rPr>
        <w:t xml:space="preserve">(initiative </w:t>
      </w:r>
      <w:r w:rsidR="00C90659" w:rsidRPr="0075793F">
        <w:rPr>
          <w:rFonts w:ascii="Cambria" w:eastAsia="Times New Roman" w:hAnsi="Cambria" w:cs="Times New Roman"/>
          <w:lang w:val="fr-FR" w:eastAsia="fr-FR"/>
        </w:rPr>
        <w:t>Sud-Sud</w:t>
      </w:r>
      <w:r w:rsidR="00C973FB" w:rsidRPr="0075793F">
        <w:rPr>
          <w:rFonts w:ascii="Cambria" w:eastAsia="Times New Roman" w:hAnsi="Cambria" w:cs="Times New Roman"/>
          <w:lang w:val="fr-FR" w:eastAsia="fr-FR"/>
        </w:rPr>
        <w:t xml:space="preserve"> avec l’Afrique)</w:t>
      </w:r>
      <w:r w:rsidR="00C90659" w:rsidRPr="0075793F">
        <w:rPr>
          <w:rFonts w:ascii="Cambria" w:eastAsia="Times New Roman" w:hAnsi="Cambria" w:cs="Times New Roman"/>
          <w:lang w:val="fr-FR" w:eastAsia="fr-FR"/>
        </w:rPr>
        <w:t xml:space="preserve">, Initiative Africaine des Energies renouvelables (AREI), </w:t>
      </w:r>
      <w:r w:rsidR="00C973FB" w:rsidRPr="0075793F">
        <w:rPr>
          <w:rFonts w:ascii="Cambria" w:eastAsia="Times New Roman" w:hAnsi="Cambria" w:cs="Times New Roman"/>
          <w:lang w:val="fr-FR" w:eastAsia="fr-FR"/>
        </w:rPr>
        <w:t>Initiative de dé</w:t>
      </w:r>
      <w:r w:rsidR="00C90659" w:rsidRPr="0075793F">
        <w:rPr>
          <w:rFonts w:ascii="Cambria" w:eastAsia="Times New Roman" w:hAnsi="Cambria" w:cs="Times New Roman"/>
          <w:lang w:val="fr-FR" w:eastAsia="fr-FR"/>
        </w:rPr>
        <w:t xml:space="preserve">carbonisation des pays vulnérables d’ici à 2050, l’engagement du G7, initiative Résiliences des Nations Unies, Initiative des Forêt de l’Afrique Centrale  </w:t>
      </w:r>
      <w:r w:rsidR="00C973FB" w:rsidRPr="0075793F">
        <w:rPr>
          <w:rFonts w:ascii="Cambria" w:eastAsia="Times New Roman" w:hAnsi="Cambria" w:cs="Times New Roman"/>
          <w:lang w:val="fr-FR" w:eastAsia="fr-FR"/>
        </w:rPr>
        <w:t>(</w:t>
      </w:r>
      <w:r w:rsidR="00C90659" w:rsidRPr="0075793F">
        <w:rPr>
          <w:rFonts w:ascii="Cambria" w:eastAsia="Times New Roman" w:hAnsi="Cambria" w:cs="Times New Roman"/>
          <w:lang w:val="fr-FR" w:eastAsia="fr-FR"/>
        </w:rPr>
        <w:t>CAFI</w:t>
      </w:r>
      <w:r w:rsidR="00C973FB" w:rsidRPr="0075793F">
        <w:rPr>
          <w:rFonts w:ascii="Cambria" w:eastAsia="Times New Roman" w:hAnsi="Cambria" w:cs="Times New Roman"/>
          <w:lang w:val="fr-FR" w:eastAsia="fr-FR"/>
        </w:rPr>
        <w:t>)</w:t>
      </w:r>
      <w:r w:rsidR="00C90659" w:rsidRPr="0075793F">
        <w:rPr>
          <w:rFonts w:ascii="Cambria" w:eastAsia="Times New Roman" w:hAnsi="Cambria" w:cs="Times New Roman"/>
          <w:lang w:val="fr-FR" w:eastAsia="fr-FR"/>
        </w:rPr>
        <w:t xml:space="preserve">. </w:t>
      </w:r>
      <w:r w:rsidR="00C973FB" w:rsidRPr="0075793F">
        <w:rPr>
          <w:rFonts w:ascii="Cambria" w:eastAsia="Times New Roman" w:hAnsi="Cambria" w:cs="Times New Roman"/>
          <w:lang w:val="fr-FR" w:eastAsia="fr-FR"/>
        </w:rPr>
        <w:t xml:space="preserve">Pour mobiliser les financements nécessaires pour la mise en œuvre de leurs CPDN, les pays d’Afrique Centrale doivent se doter des capacités utiles pour maitriser les procédures et modalités d’accès à ces différentes sources de financement. </w:t>
      </w:r>
    </w:p>
    <w:p w:rsidR="009F2779" w:rsidRPr="0075793F" w:rsidRDefault="009F2779" w:rsidP="00C045B8">
      <w:pPr>
        <w:spacing w:after="0" w:line="240" w:lineRule="auto"/>
        <w:jc w:val="both"/>
        <w:rPr>
          <w:rFonts w:ascii="Cambria" w:eastAsia="Times New Roman" w:hAnsi="Cambria" w:cs="Times New Roman"/>
          <w:lang w:val="fr-FR" w:eastAsia="fr-FR"/>
        </w:rPr>
      </w:pPr>
    </w:p>
    <w:p w:rsidR="003922BA" w:rsidRPr="0075793F" w:rsidRDefault="003922BA" w:rsidP="003922BA">
      <w:pPr>
        <w:jc w:val="both"/>
        <w:rPr>
          <w:rFonts w:ascii="Cambria" w:eastAsia="Times New Roman" w:hAnsi="Cambria" w:cs="Times New Roman"/>
          <w:lang w:val="fr-FR" w:eastAsia="fr-FR"/>
        </w:rPr>
      </w:pPr>
      <w:r w:rsidRPr="0075793F">
        <w:rPr>
          <w:rFonts w:ascii="Cambria" w:eastAsia="Times New Roman" w:hAnsi="Cambria" w:cs="Times New Roman"/>
          <w:b/>
          <w:i/>
          <w:lang w:val="fr-FR" w:eastAsia="fr-FR"/>
        </w:rPr>
        <w:t>Le transfert de technologie</w:t>
      </w:r>
      <w:r w:rsidRPr="0075793F">
        <w:rPr>
          <w:rFonts w:ascii="Cambria" w:eastAsia="Times New Roman" w:hAnsi="Cambria" w:cs="Times New Roman"/>
          <w:lang w:val="fr-FR" w:eastAsia="fr-FR"/>
        </w:rPr>
        <w:t xml:space="preserve"> : Les documents </w:t>
      </w:r>
      <w:r w:rsidR="00C973FB" w:rsidRPr="0075793F">
        <w:rPr>
          <w:rFonts w:ascii="Cambria" w:eastAsia="Times New Roman" w:hAnsi="Cambria" w:cs="Times New Roman"/>
          <w:lang w:val="fr-FR" w:eastAsia="fr-FR"/>
        </w:rPr>
        <w:t xml:space="preserve">de </w:t>
      </w:r>
      <w:r w:rsidRPr="0075793F">
        <w:rPr>
          <w:rFonts w:ascii="Cambria" w:eastAsia="Times New Roman" w:hAnsi="Cambria" w:cs="Times New Roman"/>
          <w:lang w:val="fr-FR" w:eastAsia="fr-FR"/>
        </w:rPr>
        <w:t>CPDN de</w:t>
      </w:r>
      <w:r w:rsidR="00C973FB" w:rsidRPr="0075793F">
        <w:rPr>
          <w:rFonts w:ascii="Cambria" w:eastAsia="Times New Roman" w:hAnsi="Cambria" w:cs="Times New Roman"/>
          <w:lang w:val="fr-FR" w:eastAsia="fr-FR"/>
        </w:rPr>
        <w:t>s</w:t>
      </w:r>
      <w:r w:rsidRPr="0075793F">
        <w:rPr>
          <w:rFonts w:ascii="Cambria" w:eastAsia="Times New Roman" w:hAnsi="Cambria" w:cs="Times New Roman"/>
          <w:lang w:val="fr-FR" w:eastAsia="fr-FR"/>
        </w:rPr>
        <w:t xml:space="preserve"> pays </w:t>
      </w:r>
      <w:r w:rsidR="00C973FB" w:rsidRPr="0075793F">
        <w:rPr>
          <w:rFonts w:ascii="Cambria" w:eastAsia="Times New Roman" w:hAnsi="Cambria" w:cs="Times New Roman"/>
          <w:lang w:val="fr-FR" w:eastAsia="fr-FR"/>
        </w:rPr>
        <w:t>de la sous-région ont identifié</w:t>
      </w:r>
      <w:r w:rsidRPr="0075793F">
        <w:rPr>
          <w:rFonts w:ascii="Cambria" w:eastAsia="Times New Roman" w:hAnsi="Cambria" w:cs="Times New Roman"/>
          <w:lang w:val="fr-FR" w:eastAsia="fr-FR"/>
        </w:rPr>
        <w:t>s des actions où le transfert de technologie serait bénéfique pour l'adaptation et l'atténuation. Certains pays (RDC, Gabon, Rwanda, Sao Tome &amp; Principe) ont mentionné les transferts de techno</w:t>
      </w:r>
      <w:r w:rsidR="003E745E" w:rsidRPr="0075793F">
        <w:rPr>
          <w:rFonts w:ascii="Cambria" w:eastAsia="Times New Roman" w:hAnsi="Cambria" w:cs="Times New Roman"/>
          <w:lang w:val="fr-FR" w:eastAsia="fr-FR"/>
        </w:rPr>
        <w:t>logie d'une manière vague sans d</w:t>
      </w:r>
      <w:r w:rsidRPr="0075793F">
        <w:rPr>
          <w:rFonts w:ascii="Cambria" w:eastAsia="Times New Roman" w:hAnsi="Cambria" w:cs="Times New Roman"/>
          <w:lang w:val="fr-FR" w:eastAsia="fr-FR"/>
        </w:rPr>
        <w:t>es exemples concrets.</w:t>
      </w:r>
    </w:p>
    <w:p w:rsidR="00262B9F" w:rsidRPr="0075793F" w:rsidRDefault="003922BA" w:rsidP="002733C7">
      <w:pPr>
        <w:jc w:val="both"/>
        <w:rPr>
          <w:rFonts w:ascii="Cambria" w:eastAsia="Times New Roman" w:hAnsi="Cambria" w:cs="Times New Roman"/>
          <w:lang w:val="fr-FR" w:eastAsia="fr-FR"/>
        </w:rPr>
      </w:pPr>
      <w:r w:rsidRPr="0075793F">
        <w:rPr>
          <w:rFonts w:ascii="Cambria" w:eastAsia="Times New Roman" w:hAnsi="Cambria" w:cs="Times New Roman"/>
          <w:b/>
          <w:i/>
          <w:lang w:val="fr-FR" w:eastAsia="fr-FR"/>
        </w:rPr>
        <w:t>Le renforcement des capacités</w:t>
      </w:r>
      <w:r w:rsidRPr="0075793F">
        <w:rPr>
          <w:rFonts w:ascii="Cambria" w:eastAsia="Times New Roman" w:hAnsi="Cambria" w:cs="Times New Roman"/>
          <w:lang w:val="fr-FR" w:eastAsia="fr-FR"/>
        </w:rPr>
        <w:t xml:space="preserve"> : Les besoins en renforcement des capacités en Afrique Centrale ont été identifiés dans les documents </w:t>
      </w:r>
      <w:r w:rsidR="003E745E" w:rsidRPr="0075793F">
        <w:rPr>
          <w:rFonts w:ascii="Cambria" w:eastAsia="Times New Roman" w:hAnsi="Cambria" w:cs="Times New Roman"/>
          <w:lang w:val="fr-FR" w:eastAsia="fr-FR"/>
        </w:rPr>
        <w:t xml:space="preserve">de </w:t>
      </w:r>
      <w:r w:rsidRPr="0075793F">
        <w:rPr>
          <w:rFonts w:ascii="Cambria" w:eastAsia="Times New Roman" w:hAnsi="Cambria" w:cs="Times New Roman"/>
          <w:lang w:val="fr-FR" w:eastAsia="fr-FR"/>
        </w:rPr>
        <w:t xml:space="preserve">CPDN. Ces besoins </w:t>
      </w:r>
      <w:r w:rsidR="003E745E" w:rsidRPr="0075793F">
        <w:rPr>
          <w:rFonts w:ascii="Cambria" w:eastAsia="Times New Roman" w:hAnsi="Cambria" w:cs="Times New Roman"/>
          <w:lang w:val="fr-FR" w:eastAsia="fr-FR"/>
        </w:rPr>
        <w:t>portent sur</w:t>
      </w:r>
      <w:r w:rsidRPr="0075793F">
        <w:rPr>
          <w:rFonts w:ascii="Cambria" w:eastAsia="Times New Roman" w:hAnsi="Cambria" w:cs="Times New Roman"/>
          <w:lang w:val="fr-FR" w:eastAsia="fr-FR"/>
        </w:rPr>
        <w:t xml:space="preserve"> le renforcement des capacités humaines, institutionnelles, juridique</w:t>
      </w:r>
      <w:r w:rsidR="003E745E" w:rsidRPr="0075793F">
        <w:rPr>
          <w:rFonts w:ascii="Cambria" w:eastAsia="Times New Roman" w:hAnsi="Cambria" w:cs="Times New Roman"/>
          <w:lang w:val="fr-FR" w:eastAsia="fr-FR"/>
        </w:rPr>
        <w:t>s</w:t>
      </w:r>
      <w:r w:rsidRPr="0075793F">
        <w:rPr>
          <w:rFonts w:ascii="Cambria" w:eastAsia="Times New Roman" w:hAnsi="Cambria" w:cs="Times New Roman"/>
          <w:lang w:val="fr-FR" w:eastAsia="fr-FR"/>
        </w:rPr>
        <w:t>, opérationnell</w:t>
      </w:r>
      <w:r w:rsidR="003E745E" w:rsidRPr="0075793F">
        <w:rPr>
          <w:rFonts w:ascii="Cambria" w:eastAsia="Times New Roman" w:hAnsi="Cambria" w:cs="Times New Roman"/>
          <w:lang w:val="fr-FR" w:eastAsia="fr-FR"/>
        </w:rPr>
        <w:t>es, et techniques dans les diffé</w:t>
      </w:r>
      <w:r w:rsidRPr="0075793F">
        <w:rPr>
          <w:rFonts w:ascii="Cambria" w:eastAsia="Times New Roman" w:hAnsi="Cambria" w:cs="Times New Roman"/>
          <w:lang w:val="fr-FR" w:eastAsia="fr-FR"/>
        </w:rPr>
        <w:t>rent</w:t>
      </w:r>
      <w:r w:rsidR="003E745E" w:rsidRPr="0075793F">
        <w:rPr>
          <w:rFonts w:ascii="Cambria" w:eastAsia="Times New Roman" w:hAnsi="Cambria" w:cs="Times New Roman"/>
          <w:lang w:val="fr-FR" w:eastAsia="fr-FR"/>
        </w:rPr>
        <w:t>s</w:t>
      </w:r>
      <w:r w:rsidRPr="0075793F">
        <w:rPr>
          <w:rFonts w:ascii="Cambria" w:eastAsia="Times New Roman" w:hAnsi="Cambria" w:cs="Times New Roman"/>
          <w:lang w:val="fr-FR" w:eastAsia="fr-FR"/>
        </w:rPr>
        <w:t xml:space="preserve"> domaines, secteurs et projets, impliquant les différents acteurs. </w:t>
      </w:r>
      <w:r w:rsidR="003E745E" w:rsidRPr="0075793F">
        <w:rPr>
          <w:rFonts w:ascii="Cambria" w:eastAsia="Times New Roman" w:hAnsi="Cambria" w:cs="Times New Roman"/>
          <w:lang w:val="fr-FR" w:eastAsia="fr-FR"/>
        </w:rPr>
        <w:t>Il est à souligner que t</w:t>
      </w:r>
      <w:r w:rsidR="00BE055F" w:rsidRPr="0075793F">
        <w:rPr>
          <w:rFonts w:ascii="Cambria" w:eastAsia="Times New Roman" w:hAnsi="Cambria" w:cs="Times New Roman"/>
          <w:lang w:val="fr-FR" w:eastAsia="fr-FR"/>
        </w:rPr>
        <w:t xml:space="preserve">ous les exemples concrets sur le renforcement des capacités </w:t>
      </w:r>
      <w:r w:rsidR="003E745E" w:rsidRPr="0075793F">
        <w:rPr>
          <w:rFonts w:ascii="Cambria" w:eastAsia="Times New Roman" w:hAnsi="Cambria" w:cs="Times New Roman"/>
          <w:lang w:val="fr-FR" w:eastAsia="fr-FR"/>
        </w:rPr>
        <w:t>portent</w:t>
      </w:r>
      <w:r w:rsidR="00BE055F" w:rsidRPr="0075793F">
        <w:rPr>
          <w:rFonts w:ascii="Cambria" w:eastAsia="Times New Roman" w:hAnsi="Cambria" w:cs="Times New Roman"/>
          <w:lang w:val="fr-FR" w:eastAsia="fr-FR"/>
        </w:rPr>
        <w:t xml:space="preserve"> sur l'adaptation. </w:t>
      </w:r>
      <w:r w:rsidR="003E745E" w:rsidRPr="0075793F">
        <w:rPr>
          <w:rFonts w:ascii="Cambria" w:eastAsia="Times New Roman" w:hAnsi="Cambria" w:cs="Times New Roman"/>
          <w:lang w:val="fr-FR" w:eastAsia="fr-FR"/>
        </w:rPr>
        <w:t>Aucun</w:t>
      </w:r>
      <w:r w:rsidR="00BE055F" w:rsidRPr="0075793F">
        <w:rPr>
          <w:rFonts w:ascii="Cambria" w:eastAsia="Times New Roman" w:hAnsi="Cambria" w:cs="Times New Roman"/>
          <w:lang w:val="fr-FR" w:eastAsia="fr-FR"/>
        </w:rPr>
        <w:t xml:space="preserve"> exemple concret en termes de besoins de renforcement des capacités pour les mesures d'atténuation n'a </w:t>
      </w:r>
      <w:r w:rsidR="003E745E" w:rsidRPr="0075793F">
        <w:rPr>
          <w:rFonts w:ascii="Cambria" w:eastAsia="Times New Roman" w:hAnsi="Cambria" w:cs="Times New Roman"/>
          <w:lang w:val="fr-FR" w:eastAsia="fr-FR"/>
        </w:rPr>
        <w:t>été donné</w:t>
      </w:r>
      <w:r w:rsidR="00BE055F" w:rsidRPr="0075793F">
        <w:rPr>
          <w:rFonts w:ascii="Cambria" w:eastAsia="Times New Roman" w:hAnsi="Cambria" w:cs="Times New Roman"/>
          <w:lang w:val="fr-FR" w:eastAsia="fr-FR"/>
        </w:rPr>
        <w:t xml:space="preserve"> par les 10 pays </w:t>
      </w:r>
      <w:r w:rsidR="003E745E" w:rsidRPr="0075793F">
        <w:rPr>
          <w:rFonts w:ascii="Cambria" w:eastAsia="Times New Roman" w:hAnsi="Cambria" w:cs="Times New Roman"/>
          <w:lang w:val="fr-FR" w:eastAsia="fr-FR"/>
        </w:rPr>
        <w:lastRenderedPageBreak/>
        <w:t>membres de la COMIFAC</w:t>
      </w:r>
      <w:r w:rsidR="00BE055F" w:rsidRPr="0075793F">
        <w:rPr>
          <w:rFonts w:ascii="Cambria" w:eastAsia="Times New Roman" w:hAnsi="Cambria" w:cs="Times New Roman"/>
          <w:lang w:val="fr-FR" w:eastAsia="fr-FR"/>
        </w:rPr>
        <w:t>. En plus, c</w:t>
      </w:r>
      <w:r w:rsidRPr="0075793F">
        <w:rPr>
          <w:rFonts w:ascii="Cambria" w:eastAsia="Times New Roman" w:hAnsi="Cambria" w:cs="Times New Roman"/>
          <w:lang w:val="fr-FR" w:eastAsia="fr-FR"/>
        </w:rPr>
        <w:t xml:space="preserve">ertains pays </w:t>
      </w:r>
      <w:r w:rsidR="00BE055F" w:rsidRPr="0075793F">
        <w:rPr>
          <w:rFonts w:ascii="Cambria" w:eastAsia="Times New Roman" w:hAnsi="Cambria" w:cs="Times New Roman"/>
          <w:lang w:val="fr-FR" w:eastAsia="fr-FR"/>
        </w:rPr>
        <w:t xml:space="preserve">n’ont pas mentionné le renforcement des capacités </w:t>
      </w:r>
      <w:r w:rsidR="003E745E" w:rsidRPr="0075793F">
        <w:rPr>
          <w:rFonts w:ascii="Cambria" w:eastAsia="Times New Roman" w:hAnsi="Cambria" w:cs="Times New Roman"/>
          <w:lang w:val="fr-FR" w:eastAsia="fr-FR"/>
        </w:rPr>
        <w:t xml:space="preserve">dans leurs CPDN </w:t>
      </w:r>
      <w:r w:rsidR="00BE055F" w:rsidRPr="0075793F">
        <w:rPr>
          <w:rFonts w:ascii="Cambria" w:eastAsia="Times New Roman" w:hAnsi="Cambria" w:cs="Times New Roman"/>
          <w:lang w:val="fr-FR" w:eastAsia="fr-FR"/>
        </w:rPr>
        <w:t xml:space="preserve">alors que certains </w:t>
      </w:r>
      <w:r w:rsidR="003E745E" w:rsidRPr="0075793F">
        <w:rPr>
          <w:rFonts w:ascii="Cambria" w:eastAsia="Times New Roman" w:hAnsi="Cambria" w:cs="Times New Roman"/>
          <w:lang w:val="fr-FR" w:eastAsia="fr-FR"/>
        </w:rPr>
        <w:t>l’ont mentionné d'une manière vague sans d</w:t>
      </w:r>
      <w:r w:rsidRPr="0075793F">
        <w:rPr>
          <w:rFonts w:ascii="Cambria" w:eastAsia="Times New Roman" w:hAnsi="Cambria" w:cs="Times New Roman"/>
          <w:lang w:val="fr-FR" w:eastAsia="fr-FR"/>
        </w:rPr>
        <w:t xml:space="preserve">es exemples concrets. </w:t>
      </w:r>
    </w:p>
    <w:p w:rsidR="0075793F" w:rsidRDefault="0075793F" w:rsidP="00E96AFA">
      <w:pPr>
        <w:jc w:val="both"/>
        <w:rPr>
          <w:rFonts w:ascii="Cambria" w:eastAsia="Times New Roman" w:hAnsi="Cambria" w:cs="Times New Roman"/>
          <w:b/>
          <w:smallCaps/>
          <w:sz w:val="24"/>
          <w:szCs w:val="24"/>
          <w:u w:val="single"/>
          <w:lang w:val="fr-FR" w:eastAsia="fr-FR"/>
        </w:rPr>
      </w:pPr>
    </w:p>
    <w:p w:rsidR="00FE0A12" w:rsidRPr="0075793F" w:rsidRDefault="00C47BF1" w:rsidP="00E96AFA">
      <w:pPr>
        <w:jc w:val="both"/>
        <w:rPr>
          <w:rFonts w:ascii="Cambria" w:eastAsia="Times New Roman" w:hAnsi="Cambria" w:cs="Times New Roman"/>
          <w:b/>
          <w:smallCaps/>
          <w:sz w:val="24"/>
          <w:szCs w:val="24"/>
          <w:u w:val="single"/>
          <w:lang w:val="fr-FR" w:eastAsia="fr-FR"/>
        </w:rPr>
      </w:pPr>
      <w:r w:rsidRPr="0075793F">
        <w:rPr>
          <w:rFonts w:ascii="Cambria" w:eastAsia="Times New Roman" w:hAnsi="Cambria" w:cs="Times New Roman"/>
          <w:b/>
          <w:smallCaps/>
          <w:sz w:val="24"/>
          <w:szCs w:val="24"/>
          <w:u w:val="single"/>
          <w:lang w:val="fr-FR" w:eastAsia="fr-FR"/>
        </w:rPr>
        <w:t>Propositions</w:t>
      </w:r>
      <w:r w:rsidR="00FE0A12" w:rsidRPr="0075793F">
        <w:rPr>
          <w:rFonts w:ascii="Cambria" w:eastAsia="Times New Roman" w:hAnsi="Cambria" w:cs="Times New Roman"/>
          <w:b/>
          <w:smallCaps/>
          <w:sz w:val="24"/>
          <w:szCs w:val="24"/>
          <w:u w:val="single"/>
          <w:lang w:val="fr-FR" w:eastAsia="fr-FR"/>
        </w:rPr>
        <w:t xml:space="preserve"> au Conseil des Ministres :</w:t>
      </w:r>
    </w:p>
    <w:p w:rsidR="00786BAA" w:rsidRPr="0075793F" w:rsidRDefault="00786BAA" w:rsidP="00CB4A86">
      <w:pPr>
        <w:spacing w:after="0" w:line="240" w:lineRule="auto"/>
        <w:jc w:val="both"/>
        <w:rPr>
          <w:rFonts w:ascii="Cambria" w:eastAsia="Times New Roman" w:hAnsi="Cambria" w:cs="Times New Roman"/>
          <w:lang w:val="fr-FR" w:eastAsia="fr-FR"/>
        </w:rPr>
      </w:pPr>
      <w:r w:rsidRPr="0075793F">
        <w:rPr>
          <w:rFonts w:ascii="Cambria" w:eastAsia="Times New Roman" w:hAnsi="Cambria" w:cs="Times New Roman"/>
          <w:lang w:val="fr-FR" w:eastAsia="fr-FR"/>
        </w:rPr>
        <w:t xml:space="preserve">Le Secrétariat Exécutif suggère aux Ministres de : </w:t>
      </w:r>
    </w:p>
    <w:p w:rsidR="00FA5BC6" w:rsidRPr="0075793F" w:rsidRDefault="00CB4A86" w:rsidP="00CB4A86">
      <w:pPr>
        <w:pStyle w:val="ListParagraph"/>
        <w:numPr>
          <w:ilvl w:val="0"/>
          <w:numId w:val="2"/>
        </w:numPr>
        <w:spacing w:after="0" w:line="240" w:lineRule="auto"/>
        <w:jc w:val="both"/>
        <w:rPr>
          <w:rFonts w:ascii="Cambria" w:eastAsia="Times New Roman" w:hAnsi="Cambria" w:cs="Times New Roman"/>
          <w:lang w:val="fr-FR" w:eastAsia="fr-FR"/>
        </w:rPr>
      </w:pPr>
      <w:r w:rsidRPr="0075793F">
        <w:rPr>
          <w:rFonts w:ascii="Cambria" w:eastAsia="Times New Roman" w:hAnsi="Cambria" w:cs="Times New Roman"/>
          <w:lang w:val="fr-FR" w:eastAsia="fr-FR"/>
        </w:rPr>
        <w:t xml:space="preserve">prendre acte </w:t>
      </w:r>
      <w:r w:rsidR="00FA5BC6" w:rsidRPr="0075793F">
        <w:rPr>
          <w:rFonts w:ascii="Cambria" w:eastAsia="Times New Roman" w:hAnsi="Cambria" w:cs="Times New Roman"/>
          <w:lang w:val="fr-FR" w:eastAsia="fr-FR"/>
        </w:rPr>
        <w:t>des secteurs prioritaires définis dans les CPDN par les pays membres de la COMIFAC à savoir les forêts, l’agriculture, l’énergie, la terre et l’eau et qui couvre à la fois les domaines de l’adaptation et de l’atténuation;</w:t>
      </w:r>
    </w:p>
    <w:p w:rsidR="00FA5BC6" w:rsidRPr="0075793F" w:rsidRDefault="00FA5BC6" w:rsidP="00CB4A86">
      <w:pPr>
        <w:pStyle w:val="ListParagraph"/>
        <w:numPr>
          <w:ilvl w:val="0"/>
          <w:numId w:val="2"/>
        </w:numPr>
        <w:spacing w:after="0" w:line="240" w:lineRule="auto"/>
        <w:jc w:val="both"/>
        <w:rPr>
          <w:rFonts w:ascii="Cambria" w:eastAsia="Times New Roman" w:hAnsi="Cambria" w:cs="Times New Roman"/>
          <w:lang w:val="fr-FR" w:eastAsia="fr-FR"/>
        </w:rPr>
      </w:pPr>
      <w:r w:rsidRPr="0075793F">
        <w:rPr>
          <w:rFonts w:ascii="Cambria" w:eastAsia="Times New Roman" w:hAnsi="Cambria" w:cs="Times New Roman"/>
          <w:lang w:val="fr-FR" w:eastAsia="fr-FR"/>
        </w:rPr>
        <w:t xml:space="preserve">inviter les pays membres à finaliser les idées de projets pour mobiliser les financements pour la mise en œuvre des actions prévues dans les CPDN ; </w:t>
      </w:r>
    </w:p>
    <w:p w:rsidR="00CB4A86" w:rsidRPr="0075793F" w:rsidRDefault="00FA5BC6" w:rsidP="00CB4A86">
      <w:pPr>
        <w:pStyle w:val="ListParagraph"/>
        <w:numPr>
          <w:ilvl w:val="0"/>
          <w:numId w:val="2"/>
        </w:numPr>
        <w:spacing w:after="0" w:line="240" w:lineRule="auto"/>
        <w:jc w:val="both"/>
        <w:rPr>
          <w:rFonts w:ascii="Cambria" w:eastAsia="Times New Roman" w:hAnsi="Cambria" w:cs="Times New Roman"/>
          <w:lang w:val="fr-FR" w:eastAsia="fr-FR"/>
        </w:rPr>
      </w:pPr>
      <w:r w:rsidRPr="0075793F">
        <w:rPr>
          <w:rFonts w:ascii="Cambria" w:eastAsia="Times New Roman" w:hAnsi="Cambria" w:cs="Times New Roman"/>
          <w:lang w:val="fr-FR" w:eastAsia="fr-FR"/>
        </w:rPr>
        <w:t xml:space="preserve">inviter </w:t>
      </w:r>
      <w:r w:rsidR="00CB4A86" w:rsidRPr="0075793F">
        <w:rPr>
          <w:rFonts w:ascii="Cambria" w:eastAsia="Times New Roman" w:hAnsi="Cambria" w:cs="Times New Roman"/>
          <w:lang w:val="fr-FR" w:eastAsia="fr-FR"/>
        </w:rPr>
        <w:t xml:space="preserve">les pays </w:t>
      </w:r>
      <w:r w:rsidRPr="0075793F">
        <w:rPr>
          <w:rFonts w:ascii="Cambria" w:eastAsia="Times New Roman" w:hAnsi="Cambria" w:cs="Times New Roman"/>
          <w:lang w:val="fr-FR" w:eastAsia="fr-FR"/>
        </w:rPr>
        <w:t>membres</w:t>
      </w:r>
      <w:r w:rsidR="00CB4A86" w:rsidRPr="0075793F">
        <w:rPr>
          <w:rFonts w:ascii="Cambria" w:eastAsia="Times New Roman" w:hAnsi="Cambria" w:cs="Times New Roman"/>
          <w:lang w:val="fr-FR" w:eastAsia="fr-FR"/>
        </w:rPr>
        <w:t xml:space="preserve"> </w:t>
      </w:r>
      <w:r w:rsidRPr="0075793F">
        <w:rPr>
          <w:rFonts w:ascii="Cambria" w:eastAsia="Times New Roman" w:hAnsi="Cambria" w:cs="Times New Roman"/>
          <w:lang w:val="fr-FR" w:eastAsia="fr-FR"/>
        </w:rPr>
        <w:t>à</w:t>
      </w:r>
      <w:r w:rsidR="00CB4A86" w:rsidRPr="0075793F">
        <w:rPr>
          <w:rFonts w:ascii="Cambria" w:eastAsia="Times New Roman" w:hAnsi="Cambria" w:cs="Times New Roman"/>
          <w:lang w:val="fr-FR" w:eastAsia="fr-FR"/>
        </w:rPr>
        <w:t xml:space="preserve"> </w:t>
      </w:r>
      <w:r w:rsidRPr="0075793F">
        <w:rPr>
          <w:rFonts w:ascii="Cambria" w:eastAsia="Times New Roman" w:hAnsi="Cambria" w:cs="Times New Roman"/>
          <w:lang w:val="fr-FR" w:eastAsia="fr-FR"/>
        </w:rPr>
        <w:t xml:space="preserve">réviser ou actualiser </w:t>
      </w:r>
      <w:r w:rsidR="00CB4A86" w:rsidRPr="0075793F">
        <w:rPr>
          <w:rFonts w:ascii="Cambria" w:eastAsia="Times New Roman" w:hAnsi="Cambria" w:cs="Times New Roman"/>
          <w:lang w:val="fr-FR" w:eastAsia="fr-FR"/>
        </w:rPr>
        <w:t>le</w:t>
      </w:r>
      <w:r w:rsidRPr="0075793F">
        <w:rPr>
          <w:rFonts w:ascii="Cambria" w:eastAsia="Times New Roman" w:hAnsi="Cambria" w:cs="Times New Roman"/>
          <w:lang w:val="fr-FR" w:eastAsia="fr-FR"/>
        </w:rPr>
        <w:t>ur</w:t>
      </w:r>
      <w:r w:rsidR="00CB4A86" w:rsidRPr="0075793F">
        <w:rPr>
          <w:rFonts w:ascii="Cambria" w:eastAsia="Times New Roman" w:hAnsi="Cambria" w:cs="Times New Roman"/>
          <w:lang w:val="fr-FR" w:eastAsia="fr-FR"/>
        </w:rPr>
        <w:t>s CPDN</w:t>
      </w:r>
      <w:r w:rsidRPr="0075793F">
        <w:rPr>
          <w:rFonts w:ascii="Cambria" w:eastAsia="Times New Roman" w:hAnsi="Cambria" w:cs="Times New Roman"/>
          <w:lang w:val="fr-FR" w:eastAsia="fr-FR"/>
        </w:rPr>
        <w:t xml:space="preserve"> en tenant compte des insuffisances relevées dans la version soumise au Secrétariat de la Convention </w:t>
      </w:r>
      <w:r w:rsidR="00CB4A86" w:rsidRPr="0075793F">
        <w:rPr>
          <w:rFonts w:ascii="Cambria" w:eastAsia="Times New Roman" w:hAnsi="Cambria" w:cs="Times New Roman"/>
          <w:lang w:val="fr-FR" w:eastAsia="fr-FR"/>
        </w:rPr>
        <w:t>;</w:t>
      </w:r>
    </w:p>
    <w:p w:rsidR="00DD3531" w:rsidRPr="0075793F" w:rsidRDefault="00A50C74" w:rsidP="00CB4A86">
      <w:pPr>
        <w:pStyle w:val="ListParagraph"/>
        <w:numPr>
          <w:ilvl w:val="0"/>
          <w:numId w:val="2"/>
        </w:numPr>
        <w:spacing w:after="0" w:line="240" w:lineRule="auto"/>
        <w:jc w:val="both"/>
        <w:rPr>
          <w:b/>
          <w:bCs/>
          <w:lang w:val="fr-FR"/>
        </w:rPr>
      </w:pPr>
      <w:r w:rsidRPr="0075793F">
        <w:rPr>
          <w:rFonts w:ascii="Cambria" w:eastAsia="Times New Roman" w:hAnsi="Cambria" w:cs="Times New Roman"/>
          <w:lang w:val="fr-FR" w:eastAsia="fr-FR"/>
        </w:rPr>
        <w:t>i</w:t>
      </w:r>
      <w:r w:rsidR="00786BAA" w:rsidRPr="0075793F">
        <w:rPr>
          <w:rFonts w:ascii="Cambria" w:eastAsia="Times New Roman" w:hAnsi="Cambria" w:cs="Times New Roman"/>
          <w:lang w:val="fr-FR" w:eastAsia="fr-FR"/>
        </w:rPr>
        <w:t xml:space="preserve">nstruire le Secrétariat Exécutif </w:t>
      </w:r>
      <w:r w:rsidR="00FA5BC6" w:rsidRPr="0075793F">
        <w:rPr>
          <w:rFonts w:ascii="Cambria" w:eastAsia="Times New Roman" w:hAnsi="Cambria" w:cs="Times New Roman"/>
          <w:lang w:val="fr-FR" w:eastAsia="fr-FR"/>
        </w:rPr>
        <w:t>à développer un programme sous régional d</w:t>
      </w:r>
      <w:r w:rsidR="00120BE8" w:rsidRPr="0075793F">
        <w:rPr>
          <w:rFonts w:ascii="Cambria" w:eastAsia="Times New Roman" w:hAnsi="Cambria" w:cs="Times New Roman"/>
          <w:lang w:val="fr-FR" w:eastAsia="fr-FR"/>
        </w:rPr>
        <w:t>’</w:t>
      </w:r>
      <w:r w:rsidRPr="0075793F">
        <w:rPr>
          <w:rFonts w:ascii="Cambria" w:eastAsia="Times New Roman" w:hAnsi="Cambria" w:cs="Times New Roman"/>
          <w:lang w:val="fr-FR" w:eastAsia="fr-FR"/>
        </w:rPr>
        <w:t xml:space="preserve">accompagnement des pays </w:t>
      </w:r>
      <w:r w:rsidR="00FA5BC6" w:rsidRPr="0075793F">
        <w:rPr>
          <w:rFonts w:ascii="Cambria" w:eastAsia="Times New Roman" w:hAnsi="Cambria" w:cs="Times New Roman"/>
          <w:lang w:val="fr-FR" w:eastAsia="fr-FR"/>
        </w:rPr>
        <w:t>membres</w:t>
      </w:r>
      <w:r w:rsidRPr="0075793F">
        <w:rPr>
          <w:rFonts w:ascii="Cambria" w:eastAsia="Times New Roman" w:hAnsi="Cambria" w:cs="Times New Roman"/>
          <w:lang w:val="fr-FR" w:eastAsia="fr-FR"/>
        </w:rPr>
        <w:t xml:space="preserve"> pour la mise en œuvre</w:t>
      </w:r>
      <w:r w:rsidR="00CB4A86" w:rsidRPr="0075793F">
        <w:rPr>
          <w:rFonts w:ascii="Cambria" w:eastAsia="Times New Roman" w:hAnsi="Cambria" w:cs="Times New Roman"/>
          <w:lang w:val="fr-FR" w:eastAsia="fr-FR"/>
        </w:rPr>
        <w:t xml:space="preserve"> des CPDN et du</w:t>
      </w:r>
      <w:r w:rsidRPr="0075793F">
        <w:rPr>
          <w:rFonts w:ascii="Cambria" w:eastAsia="Times New Roman" w:hAnsi="Cambria" w:cs="Times New Roman"/>
          <w:lang w:val="fr-FR" w:eastAsia="fr-FR"/>
        </w:rPr>
        <w:t xml:space="preserve"> plan d’action de l’accord climat de Paris. </w:t>
      </w:r>
      <w:r w:rsidR="00120BE8" w:rsidRPr="0075793F">
        <w:rPr>
          <w:rFonts w:ascii="Cambria" w:eastAsia="Times New Roman" w:hAnsi="Cambria" w:cs="Times New Roman"/>
          <w:lang w:val="fr-FR" w:eastAsia="fr-FR"/>
        </w:rPr>
        <w:t xml:space="preserve"> </w:t>
      </w:r>
    </w:p>
    <w:sectPr w:rsidR="00DD3531" w:rsidRPr="0075793F">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46F" w:rsidRDefault="00B9446F" w:rsidP="00786BAA">
      <w:pPr>
        <w:spacing w:after="0" w:line="240" w:lineRule="auto"/>
      </w:pPr>
      <w:r>
        <w:separator/>
      </w:r>
    </w:p>
  </w:endnote>
  <w:endnote w:type="continuationSeparator" w:id="0">
    <w:p w:rsidR="00B9446F" w:rsidRDefault="00B9446F" w:rsidP="0078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Utsaah">
    <w:altName w:val="Arial"/>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915556"/>
      <w:docPartObj>
        <w:docPartGallery w:val="Page Numbers (Bottom of Page)"/>
        <w:docPartUnique/>
      </w:docPartObj>
    </w:sdtPr>
    <w:sdtEndPr/>
    <w:sdtContent>
      <w:p w:rsidR="00786BAA" w:rsidRDefault="00786BAA">
        <w:pPr>
          <w:pStyle w:val="Footer"/>
          <w:jc w:val="right"/>
        </w:pPr>
        <w:r>
          <w:fldChar w:fldCharType="begin"/>
        </w:r>
        <w:r>
          <w:instrText>PAGE   \* MERGEFORMAT</w:instrText>
        </w:r>
        <w:r>
          <w:fldChar w:fldCharType="separate"/>
        </w:r>
        <w:r w:rsidR="0006094C" w:rsidRPr="0006094C">
          <w:rPr>
            <w:noProof/>
            <w:lang w:val="fr-FR"/>
          </w:rPr>
          <w:t>1</w:t>
        </w:r>
        <w:r>
          <w:fldChar w:fldCharType="end"/>
        </w:r>
      </w:p>
    </w:sdtContent>
  </w:sdt>
  <w:p w:rsidR="00786BAA" w:rsidRDefault="00786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46F" w:rsidRDefault="00B9446F" w:rsidP="00786BAA">
      <w:pPr>
        <w:spacing w:after="0" w:line="240" w:lineRule="auto"/>
      </w:pPr>
      <w:r>
        <w:separator/>
      </w:r>
    </w:p>
  </w:footnote>
  <w:footnote w:type="continuationSeparator" w:id="0">
    <w:p w:rsidR="00B9446F" w:rsidRDefault="00B9446F" w:rsidP="00786B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B7762"/>
    <w:multiLevelType w:val="hybridMultilevel"/>
    <w:tmpl w:val="8CCC157A"/>
    <w:lvl w:ilvl="0" w:tplc="888E0F0C">
      <w:start w:val="1"/>
      <w:numFmt w:val="bullet"/>
      <w:lvlText w:val="-"/>
      <w:lvlJc w:val="left"/>
      <w:pPr>
        <w:ind w:left="360" w:hanging="360"/>
      </w:pPr>
      <w:rPr>
        <w:rFonts w:ascii="Garamond" w:hAnsi="Garamond"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3CFA1284"/>
    <w:multiLevelType w:val="hybridMultilevel"/>
    <w:tmpl w:val="9FDE9066"/>
    <w:lvl w:ilvl="0" w:tplc="28FE0476">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4950363E"/>
    <w:multiLevelType w:val="hybridMultilevel"/>
    <w:tmpl w:val="6950BFEC"/>
    <w:lvl w:ilvl="0" w:tplc="FC5E5D08">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6931C3C"/>
    <w:multiLevelType w:val="hybridMultilevel"/>
    <w:tmpl w:val="A4049A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9A55DCA"/>
    <w:multiLevelType w:val="hybridMultilevel"/>
    <w:tmpl w:val="10CCC1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765629C"/>
    <w:multiLevelType w:val="hybridMultilevel"/>
    <w:tmpl w:val="76340826"/>
    <w:lvl w:ilvl="0" w:tplc="888E0F0C">
      <w:start w:val="1"/>
      <w:numFmt w:val="bullet"/>
      <w:lvlText w:val="-"/>
      <w:lvlJc w:val="left"/>
      <w:pPr>
        <w:ind w:left="360" w:hanging="360"/>
      </w:pPr>
      <w:rPr>
        <w:rFonts w:ascii="Garamond" w:hAnsi="Garamond"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28"/>
    <w:rsid w:val="00035215"/>
    <w:rsid w:val="0006094C"/>
    <w:rsid w:val="001050E3"/>
    <w:rsid w:val="00120BE8"/>
    <w:rsid w:val="001F4BB4"/>
    <w:rsid w:val="00262B9F"/>
    <w:rsid w:val="002727F0"/>
    <w:rsid w:val="002733C7"/>
    <w:rsid w:val="00291CFF"/>
    <w:rsid w:val="002A3143"/>
    <w:rsid w:val="002B2C4F"/>
    <w:rsid w:val="002D0430"/>
    <w:rsid w:val="002F0D57"/>
    <w:rsid w:val="00304E12"/>
    <w:rsid w:val="003449B2"/>
    <w:rsid w:val="0034541A"/>
    <w:rsid w:val="003668C1"/>
    <w:rsid w:val="00383B6C"/>
    <w:rsid w:val="003922BA"/>
    <w:rsid w:val="003E745E"/>
    <w:rsid w:val="00426B84"/>
    <w:rsid w:val="004F2438"/>
    <w:rsid w:val="00535ACA"/>
    <w:rsid w:val="0054615E"/>
    <w:rsid w:val="005C5A52"/>
    <w:rsid w:val="00644AE8"/>
    <w:rsid w:val="006A59AE"/>
    <w:rsid w:val="006A6400"/>
    <w:rsid w:val="006A72CA"/>
    <w:rsid w:val="0071784A"/>
    <w:rsid w:val="00744135"/>
    <w:rsid w:val="00751346"/>
    <w:rsid w:val="0075793F"/>
    <w:rsid w:val="00786BAA"/>
    <w:rsid w:val="007E70EB"/>
    <w:rsid w:val="00854C56"/>
    <w:rsid w:val="00860E03"/>
    <w:rsid w:val="008C6904"/>
    <w:rsid w:val="008E29DD"/>
    <w:rsid w:val="008E6F67"/>
    <w:rsid w:val="008F166A"/>
    <w:rsid w:val="00931BF9"/>
    <w:rsid w:val="00970000"/>
    <w:rsid w:val="00973589"/>
    <w:rsid w:val="00973EDD"/>
    <w:rsid w:val="009A2172"/>
    <w:rsid w:val="009A5D87"/>
    <w:rsid w:val="009B2191"/>
    <w:rsid w:val="009E379B"/>
    <w:rsid w:val="009F2779"/>
    <w:rsid w:val="00A105C2"/>
    <w:rsid w:val="00A2215F"/>
    <w:rsid w:val="00A50C74"/>
    <w:rsid w:val="00A61EBD"/>
    <w:rsid w:val="00A650A1"/>
    <w:rsid w:val="00AF2698"/>
    <w:rsid w:val="00B47119"/>
    <w:rsid w:val="00B727EF"/>
    <w:rsid w:val="00B9446F"/>
    <w:rsid w:val="00BB0FF6"/>
    <w:rsid w:val="00BE055F"/>
    <w:rsid w:val="00C045B8"/>
    <w:rsid w:val="00C176F4"/>
    <w:rsid w:val="00C34AE2"/>
    <w:rsid w:val="00C43549"/>
    <w:rsid w:val="00C47BF1"/>
    <w:rsid w:val="00C87869"/>
    <w:rsid w:val="00C87D6F"/>
    <w:rsid w:val="00C90659"/>
    <w:rsid w:val="00C973FB"/>
    <w:rsid w:val="00CB4A86"/>
    <w:rsid w:val="00D50E7E"/>
    <w:rsid w:val="00D553E3"/>
    <w:rsid w:val="00DB485F"/>
    <w:rsid w:val="00DD3531"/>
    <w:rsid w:val="00E24837"/>
    <w:rsid w:val="00E37E58"/>
    <w:rsid w:val="00E457F3"/>
    <w:rsid w:val="00E5768B"/>
    <w:rsid w:val="00E73828"/>
    <w:rsid w:val="00E96AFA"/>
    <w:rsid w:val="00ED755A"/>
    <w:rsid w:val="00FA3DD7"/>
    <w:rsid w:val="00FA586B"/>
    <w:rsid w:val="00FA5BC6"/>
    <w:rsid w:val="00FA5F19"/>
    <w:rsid w:val="00FD32B5"/>
    <w:rsid w:val="00FE0A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CC00B-CD84-429E-A16B-31F31140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BF9"/>
    <w:pPr>
      <w:ind w:left="720"/>
      <w:contextualSpacing/>
    </w:pPr>
  </w:style>
  <w:style w:type="character" w:styleId="CommentReference">
    <w:name w:val="annotation reference"/>
    <w:basedOn w:val="DefaultParagraphFont"/>
    <w:uiPriority w:val="99"/>
    <w:semiHidden/>
    <w:unhideWhenUsed/>
    <w:rsid w:val="003449B2"/>
    <w:rPr>
      <w:sz w:val="16"/>
      <w:szCs w:val="16"/>
    </w:rPr>
  </w:style>
  <w:style w:type="paragraph" w:styleId="CommentText">
    <w:name w:val="annotation text"/>
    <w:basedOn w:val="Normal"/>
    <w:link w:val="CommentTextChar"/>
    <w:uiPriority w:val="99"/>
    <w:semiHidden/>
    <w:unhideWhenUsed/>
    <w:rsid w:val="003449B2"/>
    <w:pPr>
      <w:spacing w:line="240" w:lineRule="auto"/>
    </w:pPr>
    <w:rPr>
      <w:sz w:val="20"/>
      <w:szCs w:val="20"/>
    </w:rPr>
  </w:style>
  <w:style w:type="character" w:customStyle="1" w:styleId="CommentTextChar">
    <w:name w:val="Comment Text Char"/>
    <w:basedOn w:val="DefaultParagraphFont"/>
    <w:link w:val="CommentText"/>
    <w:uiPriority w:val="99"/>
    <w:semiHidden/>
    <w:rsid w:val="003449B2"/>
    <w:rPr>
      <w:sz w:val="20"/>
      <w:szCs w:val="20"/>
    </w:rPr>
  </w:style>
  <w:style w:type="paragraph" w:styleId="CommentSubject">
    <w:name w:val="annotation subject"/>
    <w:basedOn w:val="CommentText"/>
    <w:next w:val="CommentText"/>
    <w:link w:val="CommentSubjectChar"/>
    <w:uiPriority w:val="99"/>
    <w:semiHidden/>
    <w:unhideWhenUsed/>
    <w:rsid w:val="003449B2"/>
    <w:rPr>
      <w:b/>
      <w:bCs/>
    </w:rPr>
  </w:style>
  <w:style w:type="character" w:customStyle="1" w:styleId="CommentSubjectChar">
    <w:name w:val="Comment Subject Char"/>
    <w:basedOn w:val="CommentTextChar"/>
    <w:link w:val="CommentSubject"/>
    <w:uiPriority w:val="99"/>
    <w:semiHidden/>
    <w:rsid w:val="003449B2"/>
    <w:rPr>
      <w:b/>
      <w:bCs/>
      <w:sz w:val="20"/>
      <w:szCs w:val="20"/>
    </w:rPr>
  </w:style>
  <w:style w:type="paragraph" w:styleId="BalloonText">
    <w:name w:val="Balloon Text"/>
    <w:basedOn w:val="Normal"/>
    <w:link w:val="BalloonTextChar"/>
    <w:uiPriority w:val="99"/>
    <w:semiHidden/>
    <w:unhideWhenUsed/>
    <w:rsid w:val="00344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9B2"/>
    <w:rPr>
      <w:rFonts w:ascii="Segoe UI" w:hAnsi="Segoe UI" w:cs="Segoe UI"/>
      <w:sz w:val="18"/>
      <w:szCs w:val="18"/>
    </w:rPr>
  </w:style>
  <w:style w:type="paragraph" w:styleId="Header">
    <w:name w:val="header"/>
    <w:basedOn w:val="Normal"/>
    <w:link w:val="HeaderChar"/>
    <w:unhideWhenUsed/>
    <w:rsid w:val="00786BAA"/>
    <w:pPr>
      <w:tabs>
        <w:tab w:val="center" w:pos="4536"/>
        <w:tab w:val="right" w:pos="9072"/>
      </w:tabs>
      <w:spacing w:after="0" w:line="240" w:lineRule="auto"/>
    </w:pPr>
  </w:style>
  <w:style w:type="character" w:customStyle="1" w:styleId="HeaderChar">
    <w:name w:val="Header Char"/>
    <w:basedOn w:val="DefaultParagraphFont"/>
    <w:link w:val="Header"/>
    <w:rsid w:val="00786BAA"/>
  </w:style>
  <w:style w:type="paragraph" w:styleId="Footer">
    <w:name w:val="footer"/>
    <w:basedOn w:val="Normal"/>
    <w:link w:val="FooterChar"/>
    <w:uiPriority w:val="99"/>
    <w:unhideWhenUsed/>
    <w:rsid w:val="00786B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6BAA"/>
  </w:style>
  <w:style w:type="paragraph" w:styleId="NoSpacing">
    <w:name w:val="No Spacing"/>
    <w:uiPriority w:val="1"/>
    <w:qFormat/>
    <w:rsid w:val="00C47BF1"/>
    <w:pPr>
      <w:spacing w:after="0" w:line="240" w:lineRule="auto"/>
    </w:pPr>
  </w:style>
  <w:style w:type="paragraph" w:styleId="NormalWeb">
    <w:name w:val="Normal (Web)"/>
    <w:basedOn w:val="Normal"/>
    <w:uiPriority w:val="99"/>
    <w:unhideWhenUsed/>
    <w:rsid w:val="00535AC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TableGrid">
    <w:name w:val="Table Grid"/>
    <w:basedOn w:val="TableNormal"/>
    <w:uiPriority w:val="39"/>
    <w:rsid w:val="00970000"/>
    <w:pPr>
      <w:spacing w:after="0" w:line="240" w:lineRule="auto"/>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76531">
      <w:bodyDiv w:val="1"/>
      <w:marLeft w:val="0"/>
      <w:marRight w:val="0"/>
      <w:marTop w:val="0"/>
      <w:marBottom w:val="0"/>
      <w:divBdr>
        <w:top w:val="none" w:sz="0" w:space="0" w:color="auto"/>
        <w:left w:val="none" w:sz="0" w:space="0" w:color="auto"/>
        <w:bottom w:val="none" w:sz="0" w:space="0" w:color="auto"/>
        <w:right w:val="none" w:sz="0" w:space="0" w:color="auto"/>
      </w:divBdr>
    </w:div>
    <w:div w:id="279385992">
      <w:bodyDiv w:val="1"/>
      <w:marLeft w:val="0"/>
      <w:marRight w:val="0"/>
      <w:marTop w:val="0"/>
      <w:marBottom w:val="0"/>
      <w:divBdr>
        <w:top w:val="none" w:sz="0" w:space="0" w:color="auto"/>
        <w:left w:val="none" w:sz="0" w:space="0" w:color="auto"/>
        <w:bottom w:val="none" w:sz="0" w:space="0" w:color="auto"/>
        <w:right w:val="none" w:sz="0" w:space="0" w:color="auto"/>
      </w:divBdr>
    </w:div>
    <w:div w:id="1010715247">
      <w:bodyDiv w:val="1"/>
      <w:marLeft w:val="0"/>
      <w:marRight w:val="0"/>
      <w:marTop w:val="0"/>
      <w:marBottom w:val="0"/>
      <w:divBdr>
        <w:top w:val="none" w:sz="0" w:space="0" w:color="auto"/>
        <w:left w:val="none" w:sz="0" w:space="0" w:color="auto"/>
        <w:bottom w:val="none" w:sz="0" w:space="0" w:color="auto"/>
        <w:right w:val="none" w:sz="0" w:space="0" w:color="auto"/>
      </w:divBdr>
    </w:div>
    <w:div w:id="1224373466">
      <w:bodyDiv w:val="1"/>
      <w:marLeft w:val="0"/>
      <w:marRight w:val="0"/>
      <w:marTop w:val="0"/>
      <w:marBottom w:val="0"/>
      <w:divBdr>
        <w:top w:val="none" w:sz="0" w:space="0" w:color="auto"/>
        <w:left w:val="none" w:sz="0" w:space="0" w:color="auto"/>
        <w:bottom w:val="none" w:sz="0" w:space="0" w:color="auto"/>
        <w:right w:val="none" w:sz="0" w:space="0" w:color="auto"/>
      </w:divBdr>
    </w:div>
    <w:div w:id="1457528101">
      <w:bodyDiv w:val="1"/>
      <w:marLeft w:val="0"/>
      <w:marRight w:val="0"/>
      <w:marTop w:val="0"/>
      <w:marBottom w:val="0"/>
      <w:divBdr>
        <w:top w:val="none" w:sz="0" w:space="0" w:color="auto"/>
        <w:left w:val="none" w:sz="0" w:space="0" w:color="auto"/>
        <w:bottom w:val="none" w:sz="0" w:space="0" w:color="auto"/>
        <w:right w:val="none" w:sz="0" w:space="0" w:color="auto"/>
      </w:divBdr>
    </w:div>
    <w:div w:id="20181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6246</Characters>
  <Application>Microsoft Office Word</Application>
  <DocSecurity>4</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MBITIKON RAYMOND</dc:creator>
  <cp:lastModifiedBy>Kalame, Fobissie B</cp:lastModifiedBy>
  <cp:revision>2</cp:revision>
  <dcterms:created xsi:type="dcterms:W3CDTF">2016-05-08T20:31:00Z</dcterms:created>
  <dcterms:modified xsi:type="dcterms:W3CDTF">2016-05-08T20:31:00Z</dcterms:modified>
</cp:coreProperties>
</file>